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bidi w:val="0"/>
        <w:rPr>
          <w:rFonts w:hint="eastAsia"/>
        </w:rPr>
      </w:pPr>
      <w:r>
        <w:rPr>
          <w:rFonts w:hint="eastAsia"/>
          <w:lang w:eastAsia="zh-CN"/>
        </w:rPr>
        <w:t>安义县农业农村局(部门)2026</w:t>
      </w:r>
      <w:r>
        <w:rPr>
          <w:rFonts w:hint="eastAsia"/>
        </w:rPr>
        <w:t>年部门预算</w:t>
      </w:r>
    </w:p>
    <w:p>
      <w:pPr>
        <w:pStyle w:val="13"/>
        <w:spacing w:line="600" w:lineRule="atLeast"/>
        <w:jc w:val="center"/>
        <w:rPr>
          <w:rFonts w:ascii="黑体" w:hAnsi="黑体" w:eastAsia="黑体"/>
          <w:color w:val="000000"/>
          <w:sz w:val="32"/>
          <w:szCs w:val="32"/>
        </w:rPr>
      </w:pPr>
    </w:p>
    <w:p>
      <w:pPr>
        <w:pStyle w:val="13"/>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pPr>
        <w:pStyle w:val="13"/>
        <w:rPr>
          <w:rFonts w:ascii="宋体" w:hAnsi="宋体"/>
          <w:color w:val="000000"/>
        </w:rPr>
      </w:pPr>
    </w:p>
    <w:p>
      <w:pPr>
        <w:pStyle w:val="17"/>
        <w:numPr>
          <w:ilvl w:val="0"/>
          <w:numId w:val="0"/>
        </w:numPr>
        <w:bidi w:val="0"/>
        <w:ind w:left="420" w:leftChars="200"/>
        <w:jc w:val="left"/>
        <w:rPr>
          <w:rFonts w:hint="eastAsia"/>
          <w:lang w:eastAsia="zh-CN"/>
        </w:rPr>
      </w:pPr>
      <w:r>
        <w:rPr>
          <w:rFonts w:hint="eastAsia"/>
          <w:lang w:val="en-US" w:eastAsia="zh-CN"/>
        </w:rPr>
        <w:t>第一部分  安义县农业农村局(部门)概况</w:t>
      </w:r>
    </w:p>
    <w:p>
      <w:pPr>
        <w:pStyle w:val="18"/>
        <w:bidi w:val="0"/>
        <w:rPr>
          <w:rFonts w:hint="eastAsia" w:ascii="仿宋_GB2312" w:hAnsi="仿宋_GB2312" w:eastAsia="仿宋_GB2312" w:cs="仿宋_GB2312"/>
        </w:rPr>
      </w:pPr>
      <w:r>
        <w:rPr>
          <w:rFonts w:hint="eastAsia" w:ascii="仿宋_GB2312" w:hAnsi="仿宋_GB2312" w:eastAsia="仿宋_GB2312" w:cs="仿宋_GB2312"/>
        </w:rPr>
        <w:t>一、部门主要职责</w:t>
      </w:r>
    </w:p>
    <w:p>
      <w:pPr>
        <w:pStyle w:val="18"/>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pPr>
        <w:pStyle w:val="17"/>
        <w:numPr>
          <w:ilvl w:val="0"/>
          <w:numId w:val="0"/>
        </w:numPr>
        <w:bidi w:val="0"/>
        <w:ind w:left="420" w:leftChars="200"/>
        <w:jc w:val="left"/>
        <w:rPr>
          <w:rFonts w:hint="eastAsia"/>
        </w:rPr>
      </w:pPr>
      <w:r>
        <w:rPr>
          <w:rFonts w:hint="eastAsia"/>
        </w:rPr>
        <w:t xml:space="preserve">第二部分  </w:t>
      </w:r>
      <w:r>
        <w:rPr>
          <w:rFonts w:hint="eastAsia"/>
          <w:lang w:eastAsia="zh-CN"/>
        </w:rPr>
        <w:t>安义县农业农村局(部门)2026</w:t>
      </w:r>
      <w:r>
        <w:rPr>
          <w:rFonts w:hint="eastAsia"/>
        </w:rPr>
        <w:t>年部门预算表</w:t>
      </w:r>
    </w:p>
    <w:p>
      <w:pPr>
        <w:pStyle w:val="18"/>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pPr>
        <w:pStyle w:val="18"/>
        <w:bidi w:val="0"/>
        <w:rPr>
          <w:rFonts w:hint="eastAsia" w:ascii="仿宋_GB2312" w:hAnsi="仿宋_GB2312" w:eastAsia="仿宋_GB2312" w:cs="仿宋_GB2312"/>
        </w:rPr>
      </w:pPr>
      <w:r>
        <w:rPr>
          <w:rFonts w:hint="eastAsia" w:ascii="仿宋_GB2312" w:hAnsi="仿宋_GB2312" w:eastAsia="仿宋_GB2312" w:cs="仿宋_GB2312"/>
        </w:rPr>
        <w:t>二、《部门收入总表》</w:t>
      </w:r>
    </w:p>
    <w:p>
      <w:pPr>
        <w:pStyle w:val="18"/>
        <w:bidi w:val="0"/>
        <w:rPr>
          <w:rFonts w:hint="eastAsia" w:ascii="仿宋_GB2312" w:hAnsi="仿宋_GB2312" w:eastAsia="仿宋_GB2312" w:cs="仿宋_GB2312"/>
        </w:rPr>
      </w:pPr>
      <w:r>
        <w:rPr>
          <w:rFonts w:hint="eastAsia" w:ascii="仿宋_GB2312" w:hAnsi="仿宋_GB2312" w:eastAsia="仿宋_GB2312" w:cs="仿宋_GB2312"/>
        </w:rPr>
        <w:t>三、《部门支出总表》</w:t>
      </w:r>
    </w:p>
    <w:p>
      <w:pPr>
        <w:pStyle w:val="18"/>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pPr>
        <w:pStyle w:val="18"/>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pPr>
        <w:pStyle w:val="18"/>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pPr>
        <w:pStyle w:val="18"/>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pPr>
        <w:pStyle w:val="18"/>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pPr>
        <w:pStyle w:val="18"/>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pPr>
        <w:pStyle w:val="18"/>
        <w:bidi w:val="0"/>
        <w:rPr>
          <w:rFonts w:hint="eastAsia" w:ascii="仿宋_GB2312" w:hAnsi="仿宋_GB2312" w:eastAsia="仿宋_GB2312" w:cs="仿宋_GB2312"/>
        </w:rPr>
      </w:pPr>
      <w:r>
        <w:rPr>
          <w:rFonts w:hint="eastAsia" w:ascii="仿宋_GB2312" w:hAnsi="仿宋_GB2312" w:eastAsia="仿宋_GB2312" w:cs="仿宋_GB2312"/>
        </w:rPr>
        <w:t>十、《部门整体绩效目标》</w:t>
      </w:r>
    </w:p>
    <w:p>
      <w:pPr>
        <w:pStyle w:val="18"/>
        <w:bidi w:val="0"/>
        <w:rPr>
          <w:rFonts w:hint="eastAsia" w:ascii="仿宋_GB2312" w:hAnsi="仿宋_GB2312" w:eastAsia="仿宋_GB2312" w:cs="仿宋_GB2312"/>
        </w:rPr>
      </w:pPr>
      <w:r>
        <w:rPr>
          <w:rFonts w:hint="eastAsia" w:ascii="仿宋_GB2312" w:hAnsi="仿宋_GB2312" w:eastAsia="仿宋_GB2312" w:cs="仿宋_GB2312"/>
        </w:rPr>
        <w:t>十一、《项目绩效目标</w:t>
      </w:r>
      <w:r>
        <w:rPr>
          <w:rFonts w:hint="eastAsia" w:cs="仿宋_GB2312"/>
          <w:lang w:val="en-US" w:eastAsia="zh-CN"/>
        </w:rPr>
        <w:t>表</w:t>
      </w:r>
      <w:r>
        <w:rPr>
          <w:rFonts w:hint="eastAsia" w:ascii="仿宋_GB2312" w:hAnsi="仿宋_GB2312" w:eastAsia="仿宋_GB2312" w:cs="仿宋_GB2312"/>
        </w:rPr>
        <w:t>》</w:t>
      </w:r>
    </w:p>
    <w:p>
      <w:pPr>
        <w:pStyle w:val="17"/>
        <w:numPr>
          <w:ilvl w:val="0"/>
          <w:numId w:val="0"/>
        </w:numPr>
        <w:bidi w:val="0"/>
        <w:ind w:left="420" w:leftChars="200"/>
        <w:jc w:val="left"/>
        <w:rPr>
          <w:rFonts w:hint="eastAsia"/>
          <w:lang w:eastAsia="zh-CN"/>
        </w:rPr>
      </w:pPr>
      <w:r>
        <w:rPr>
          <w:rFonts w:hint="eastAsia"/>
          <w:lang w:eastAsia="zh-CN"/>
        </w:rPr>
        <w:t>第三部分 安义县农业农村局(部门) 2026年部门预算情况说明</w:t>
      </w:r>
    </w:p>
    <w:p>
      <w:pPr>
        <w:pStyle w:val="18"/>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年部门预算收支情况说明</w:t>
      </w:r>
    </w:p>
    <w:p>
      <w:pPr>
        <w:pStyle w:val="18"/>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pPr>
        <w:pStyle w:val="13"/>
        <w:tabs>
          <w:tab w:val="left" w:pos="6546"/>
        </w:tabs>
        <w:spacing w:line="600" w:lineRule="atLeast"/>
        <w:ind w:firstLine="1280"/>
        <w:jc w:val="left"/>
        <w:rPr>
          <w:rFonts w:ascii="Adobe 仿宋 Std R" w:hAnsi="Adobe 仿宋 Std R" w:eastAsia="Adobe 仿宋 Std R" w:cstheme="minorBidi"/>
          <w:kern w:val="2"/>
          <w:sz w:val="32"/>
          <w:szCs w:val="30"/>
        </w:rPr>
      </w:pPr>
    </w:p>
    <w:p>
      <w:pPr>
        <w:pStyle w:val="17"/>
        <w:numPr>
          <w:ilvl w:val="0"/>
          <w:numId w:val="0"/>
        </w:numPr>
        <w:bidi w:val="0"/>
        <w:ind w:left="420" w:leftChars="200"/>
        <w:jc w:val="left"/>
        <w:rPr>
          <w:rFonts w:hint="eastAsia"/>
          <w:lang w:eastAsia="zh-CN"/>
        </w:rPr>
      </w:pPr>
      <w:r>
        <w:rPr>
          <w:rFonts w:hint="eastAsia"/>
          <w:lang w:eastAsia="zh-CN"/>
        </w:rPr>
        <w:t>第四部分  名词解释</w:t>
      </w:r>
    </w:p>
    <w:p>
      <w:pPr>
        <w:widowControl/>
        <w:spacing w:line="580" w:lineRule="exact"/>
        <w:jc w:val="center"/>
        <w:rPr>
          <w:rFonts w:ascii="仿宋_GB2312" w:eastAsia="仿宋_GB2312"/>
          <w:b/>
          <w:sz w:val="32"/>
          <w:szCs w:val="30"/>
        </w:rPr>
      </w:pPr>
    </w:p>
    <w:p>
      <w:pPr>
        <w:widowControl/>
        <w:spacing w:line="580" w:lineRule="exact"/>
        <w:jc w:val="center"/>
        <w:rPr>
          <w:rFonts w:ascii="仿宋_GB2312" w:eastAsia="仿宋_GB2312"/>
          <w:b/>
          <w:sz w:val="32"/>
          <w:szCs w:val="30"/>
        </w:rPr>
      </w:pPr>
    </w:p>
    <w:p>
      <w:pPr>
        <w:pStyle w:val="17"/>
        <w:numPr>
          <w:ilvl w:val="0"/>
          <w:numId w:val="0"/>
        </w:numPr>
        <w:bidi w:val="0"/>
        <w:ind w:left="420" w:leftChars="200"/>
        <w:jc w:val="center"/>
        <w:rPr>
          <w:rFonts w:hint="eastAsia"/>
          <w:lang w:eastAsia="zh-CN"/>
        </w:rPr>
      </w:pPr>
      <w:r>
        <w:rPr>
          <w:rFonts w:hint="eastAsia"/>
          <w:lang w:eastAsia="zh-CN"/>
        </w:rPr>
        <w:t>第一部分  安义县农业农村局(部门)概况</w:t>
      </w:r>
    </w:p>
    <w:p>
      <w:pPr>
        <w:widowControl/>
        <w:spacing w:line="580" w:lineRule="exact"/>
        <w:jc w:val="left"/>
        <w:rPr>
          <w:rFonts w:asciiTheme="minorEastAsia" w:hAnsiTheme="minorEastAsia"/>
          <w:b/>
          <w:sz w:val="36"/>
          <w:szCs w:val="36"/>
        </w:rPr>
      </w:pPr>
    </w:p>
    <w:p>
      <w:pPr>
        <w:pStyle w:val="17"/>
        <w:numPr>
          <w:ilvl w:val="0"/>
          <w:numId w:val="0"/>
        </w:numPr>
        <w:bidi w:val="0"/>
        <w:ind w:left="420" w:leftChars="200" w:firstLine="320" w:firstLineChars="100"/>
        <w:rPr>
          <w:rFonts w:hint="eastAsia"/>
        </w:rPr>
      </w:pPr>
      <w:r>
        <w:rPr>
          <w:rFonts w:hint="eastAsia"/>
        </w:rPr>
        <w:t>一、部门主要职责</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安义县农业农村局主要职责是：</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一）统筹研究和组织实施全县“三农”和粮食工作的发展战略、中长期规划、重大政策。参与涉农的财税、价格、收储、金融保险、进出口等政策制定，统筹协调和监督指导农业综合行政执法，负责监督指导、重大案件查处和跨区域执法的组织协调工作。</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（二）统筹推动发展全县农村社会事业、农村公共服务、农村文化、农村基础设施和乡村治理。牵头组织改善农村人居环境，组织实施新农村建设。指导农村精神文明和优秀农耕文化建设。</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（三）贯彻执行党和国家有关扶贫开发工作的方针、政策。在全县经济社会发展总体规划的框架内，拟订全县贫困地区、贫困人口扶贫规划和年度工作计划并组织实施。</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四）拟订深化全县农村经济体制改革和巩固完善农村基本经营制度的政策。负责农民承包地、农村宅基地改革和管理有关工作，指导农村土地承包、耕地使用权流转和承包纠纷仲裁工作。负责农村集体产权制度改革，指导农村集体经济组织发展和集体资产管理工作，监督减轻农民负担和村民筹资筹劳管理工作。指导农民合作经济组织、农业社会化服务体系、新型农业经营主体建设与发展。</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五）指导全县乡村特色产业、农产品加工业、休闲农业和乡镇企业发展工作，促进农村一二三产业融合发展。提出促进大宗农产品流通的建议，培育、保护农业品牌，组织农业产业化龙头企业监测和评定工作。发布全县农业农村经济信息，监测分析农业农村经济运行。承担全县农业、粮食统计和农业农村信息化有关工作。</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六）负责全县种植业、畜牧业、渔业、农业机械化等农业各产业的监督管理。指导粮食等农产品生产，组织协调“菜篮子”工作，引导产业结构调整和产品品质的改善。组织构建现代农业产业体系、生产体系、经营体系，指导农业标准化生产。</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七）负责全县农产品质量安全监督管理。组织开展农产品质量安全监测、追溯、风险评估。参与制定农产品质量安全标准并会同有关部门组织实施。组织农产品质量安全的重大事故调查处理和突发事件的应对工作。指导全县农业检验检测体系建设。</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八）组织全县农业资源区划工作。指导农用地、渔业水域以及农业生物物种资源的保护与管理，负责水生野生动植物保护、耕地及永久基本农田质量保护工作。指导设施农业、生态循环农业、节水农业发展以及农村可再生能源综合开发利用、农业生物质产业发展。</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九）负责全县有关农业生产资料和农业投入品的监督管理。组织全县农业生产资料市场体系建设，拟订有关农业生产资料地方标准并监督实施。组织兽医医政、兽药药政药检工作，负责执业兽医和畜禽屠宰行业管理。</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负责全县农业防灾减灾、农作物重大病虫害防治工作。监测、报告、发布农业灾情，组织农业救灾物资储备和调拨，提出生产救灾资金安排建议，指导紧急救灾和灾后生产恢复。指导全县动植物防疫检疫体系建设，组织、监督县内动植物防疫检疫工作，发布疫情并组织扑灭。</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一）负责农业投资管理。提出农业投融资体制机制改革建议。编制县级投资安排的农业投资项目建设规划，提出农业投资规模和方向、扶持农业农村发展财政项目的建议，按县政府规定权限审批农业投资项目，负责农业投资项目资金安排和监督管理。</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二）推动全县农业科技体制改革和农业科技创新体系建设。指导全县农业产业技术体系和农技推广系统建设，组织开展农业领域的高新技术和应用技术研究、科技成果转化和技术推广。负责全县农业转基因生物安全监督管理和农业植物新品种保护。</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三）负责农业领域生态环境保护和节能减排工作。牵头负责农业污染源头减量和废弃物资源化利用。牵头统筹协调推进农村人居环境整治。指导农业清洁生产和废弃物资源化利用。指导全县农产品产地环境管理，牵头管理全县外来物种。</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四）贯彻执行国家、省、市有关粮食流通的法律法规和政策。负责全县粮食流通行业管理和县级储备粮(油)行政管理。组织指导全县粮食收购工作，研究提出县级储备粮(油)的规划和总量计划，组织实施县级储备粮(油)的收储、轮换和日常管理。承担全县粮食流通的宏观调控具体工作，监测粮食(油)供求变化并预警预测。指导实施全县粮食仓储管理有关技术规范。拟订全县粮食流通设施建设规划并组织实施。负责政策性粮食供应及军粮供应与管理。负责全县粮食流通行业安全生产工作的监督管理。</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五）负责全县粮食流通监督检查,负责全县范围内政策性粮食(油)的监管及储备政策落实情况的监督检查，负责粮食收购、储存、运输环节的粮食质量安全和原粮卫生的监督管理，组织实施全县粮食库存检查工作。承担粮食安全省长责任制考核县级层面的日常工作。</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（十六）统筹推进全县农业农村人才工作。拟订全县农业农村人才队伍建设规划并组织实施，指导农业教育和农业、粮食职业技能开发，指导新型职业农民培育、农业科技人才培养和农村实用人才培训工作。</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（十七）监督指导全县农业行业安全生产工作。负责农业机械和农药使用等安全监督管理工作。</w:t>
      </w:r>
    </w:p>
    <w:p>
      <w:pPr>
        <w:spacing w:line="56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八）牵头开展全县农业对外合作工作。指导全县系统开放型农业及农业招商引资工作。承办政府间农业涉外事务，组织开展农业贸易促进和有关国际国内交流合作，具体执行有关农业援外项目。组织开发农产品国际国内市场。</w:t>
      </w:r>
    </w:p>
    <w:p>
      <w:pPr>
        <w:widowControl/>
        <w:spacing w:line="600" w:lineRule="exact"/>
        <w:ind w:firstLine="640"/>
        <w:jc w:val="left"/>
        <w:rPr>
          <w:rFonts w:hint="eastAsia" w:ascii="仿宋_GB2312" w:hAnsi="仿宋_GB2312" w:eastAsia="仿宋_GB2312" w:cs="仿宋_GB2312"/>
        </w:rPr>
      </w:pPr>
      <w:r>
        <w:rPr>
          <w:rFonts w:hint="eastAsia" w:ascii="仿宋_GB2312" w:hAnsi="Times New Roman" w:eastAsia="仿宋_GB2312" w:cs="Times New Roman"/>
          <w:color w:val="auto"/>
          <w:sz w:val="32"/>
          <w:szCs w:val="32"/>
          <w:highlight w:val="none"/>
          <w:lang w:val="en-US" w:eastAsia="zh-CN"/>
        </w:rPr>
        <w:t>（十九）完成县委、县政府交办的其他任务。</w:t>
      </w:r>
    </w:p>
    <w:p>
      <w:pPr>
        <w:pStyle w:val="17"/>
        <w:numPr>
          <w:ilvl w:val="0"/>
          <w:numId w:val="0"/>
        </w:numPr>
        <w:bidi w:val="0"/>
        <w:ind w:left="420" w:leftChars="200" w:firstLine="320" w:firstLineChars="100"/>
        <w:rPr>
          <w:rFonts w:hint="eastAsia"/>
        </w:rPr>
      </w:pPr>
      <w:r>
        <w:rPr>
          <w:rFonts w:hint="eastAsia"/>
        </w:rPr>
        <w:t>二、机构设置及人员情况</w:t>
      </w:r>
    </w:p>
    <w:p>
      <w:pPr>
        <w:pStyle w:val="18"/>
        <w:bidi w:val="0"/>
        <w:rPr>
          <w:rFonts w:hint="eastAsia" w:ascii="仿宋_GB2312" w:hAnsi="仿宋_GB2312" w:eastAsia="仿宋_GB2312" w:cs="仿宋_GB2312"/>
        </w:rPr>
      </w:pPr>
      <w:r>
        <w:rPr>
          <w:rFonts w:hint="eastAsia" w:ascii="仿宋_GB2312" w:hAnsi="仿宋_GB2312" w:eastAsia="仿宋_GB2312" w:cs="仿宋_GB2312"/>
          <w:lang w:eastAsia="zh-CN"/>
        </w:rPr>
        <w:t>安义县农业农村局(部门)共有预算单位1个，包括安义县农业农村局(部门)</w:t>
      </w:r>
      <w:r>
        <w:rPr>
          <w:rFonts w:hint="eastAsia" w:ascii="仿宋_GB2312" w:hAnsi="仿宋_GB2312" w:eastAsia="仿宋_GB2312" w:cs="仿宋_GB2312"/>
        </w:rPr>
        <w:t>。2026年安义县农业农村局共有预算单位1个，即安义县农业农村局。纳入本套部门预算汇编范围的事业单位4个，包括：安义县乡村振兴服务中心、安义县农业综合执法大队；安义县农业技术推广中心、安义县畜牧水产中心。</w:t>
      </w:r>
    </w:p>
    <w:p>
      <w:pPr>
        <w:pStyle w:val="18"/>
        <w:bidi w:val="0"/>
        <w:rPr>
          <w:rFonts w:ascii="仿宋_GB2312" w:eastAsia="仿宋_GB2312"/>
          <w:b/>
          <w:szCs w:val="30"/>
        </w:rPr>
      </w:pPr>
      <w:r>
        <w:rPr>
          <w:rFonts w:hint="eastAsia" w:ascii="仿宋_GB2312" w:hAnsi="仿宋_GB2312" w:eastAsia="仿宋_GB2312" w:cs="仿宋_GB2312"/>
        </w:rPr>
        <w:t>编制人数小计124人，其中：行政编制17人、参照公务员管理的事业编制0人、机关和工勤编制4人、全部补助事业编制103人、部分补助事业编制0人、自收自支事业编制0人。实有人数192人，其中：在职人数小计83人，包括行政人员16人、参照公务员管理的事业编制0人、机关和工勤编制4人、全部补助事业人员63人、部分补助事业人员0人、自收自支事业人员0人；离休人数小计0人；退休人员小计109人。遗属人数3人。</w:t>
      </w:r>
    </w:p>
    <w:p>
      <w:pPr>
        <w:pStyle w:val="17"/>
        <w:numPr>
          <w:ilvl w:val="0"/>
          <w:numId w:val="0"/>
        </w:numPr>
        <w:bidi w:val="0"/>
        <w:ind w:left="420" w:leftChars="200"/>
        <w:jc w:val="center"/>
        <w:rPr>
          <w:rFonts w:hint="eastAsia"/>
          <w:lang w:eastAsia="zh-CN"/>
        </w:rPr>
      </w:pPr>
      <w:r>
        <w:rPr>
          <w:rFonts w:hint="eastAsia"/>
          <w:lang w:eastAsia="zh-CN"/>
        </w:rPr>
        <w:t>第二部分  安义县农业农村局(部门)2026年部门预算表</w:t>
      </w:r>
    </w:p>
    <w:p>
      <w:pPr>
        <w:pStyle w:val="17"/>
        <w:numPr>
          <w:ilvl w:val="0"/>
          <w:numId w:val="0"/>
        </w:numPr>
        <w:bidi w:val="0"/>
        <w:ind w:left="420" w:leftChars="200"/>
        <w:rPr>
          <w:rFonts w:hint="eastAsia"/>
          <w:lang w:eastAsia="zh-CN"/>
        </w:rPr>
        <w:sectPr>
          <w:headerReference r:id="rId3" w:type="default"/>
          <w:pgSz w:w="11906" w:h="16838"/>
          <w:pgMar w:top="2098" w:right="1587" w:bottom="2098" w:left="1587" w:header="851" w:footer="992" w:gutter="0"/>
          <w:cols w:space="425" w:num="1"/>
          <w:docGrid w:type="lines" w:linePitch="312" w:charSpace="0"/>
        </w:sectPr>
      </w:pPr>
    </w:p>
    <w:tbl>
      <w:tblPr>
        <w:tblStyle w:val="8"/>
        <w:tblW w:w="10466" w:type="dxa"/>
        <w:jc w:val="center"/>
        <w:tblInd w:w="0" w:type="dxa"/>
        <w:tblLayout w:type="fixed"/>
        <w:tblCellMar>
          <w:top w:w="0" w:type="dxa"/>
          <w:left w:w="108" w:type="dxa"/>
          <w:bottom w:w="0" w:type="dxa"/>
          <w:right w:w="108" w:type="dxa"/>
        </w:tblCellMar>
      </w:tblPr>
      <w:tblGrid>
        <w:gridCol w:w="3059"/>
        <w:gridCol w:w="2204"/>
        <w:gridCol w:w="3464"/>
        <w:gridCol w:w="1739"/>
      </w:tblGrid>
      <w:tr>
        <w:tblPrEx>
          <w:tblLayout w:type="fixed"/>
          <w:tblCellMar>
            <w:top w:w="0" w:type="dxa"/>
            <w:left w:w="108" w:type="dxa"/>
            <w:bottom w:w="0" w:type="dxa"/>
            <w:right w:w="108" w:type="dxa"/>
          </w:tblCellMar>
        </w:tblPrEx>
        <w:trPr>
          <w:trHeight w:val="585" w:hRule="atLeast"/>
          <w:tblHeader/>
          <w:jc w:val="center"/>
        </w:trPr>
        <w:tc>
          <w:tcPr>
            <w:tcW w:w="10466" w:type="dxa"/>
            <w:gridSpan w:val="4"/>
            <w:noWrap/>
            <w:vAlign w:val="center"/>
          </w:tcPr>
          <w:p>
            <w:pPr>
              <w:widowControl/>
              <w:jc w:val="center"/>
              <w:rPr>
                <w:rFonts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t>收支预算总表</w:t>
            </w:r>
          </w:p>
        </w:tc>
      </w:tr>
      <w:tr>
        <w:tblPrEx>
          <w:tblLayout w:type="fixed"/>
          <w:tblCellMar>
            <w:top w:w="0" w:type="dxa"/>
            <w:left w:w="108" w:type="dxa"/>
            <w:bottom w:w="0" w:type="dxa"/>
            <w:right w:w="108" w:type="dxa"/>
          </w:tblCellMar>
        </w:tblPrEx>
        <w:trPr>
          <w:trHeight w:val="345" w:hRule="atLeast"/>
          <w:tblHeader/>
          <w:jc w:val="center"/>
        </w:trPr>
        <w:tc>
          <w:tcPr>
            <w:tcW w:w="5263" w:type="dxa"/>
            <w:gridSpan w:val="2"/>
            <w:noWrap/>
            <w:vAlign w:val="center"/>
          </w:tcPr>
          <w:p>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填报单位:</w:t>
            </w:r>
            <w:r>
              <w:rPr>
                <w:rFonts w:hint="eastAsia" w:asciiTheme="minorEastAsia" w:hAnsiTheme="minorEastAsia" w:eastAsiaTheme="minorEastAsia" w:cstheme="minorEastAsia"/>
                <w:color w:val="000000"/>
                <w:kern w:val="0"/>
                <w:sz w:val="21"/>
                <w:szCs w:val="21"/>
                <w:lang w:eastAsia="zh-CN" w:bidi="ar"/>
              </w:rPr>
              <w:t>302安义县农业农村局(部门)</w:t>
            </w:r>
          </w:p>
        </w:tc>
        <w:tc>
          <w:tcPr>
            <w:tcW w:w="3464" w:type="dxa"/>
            <w:noWrap/>
            <w:vAlign w:val="bottom"/>
          </w:tcPr>
          <w:p>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p>
        </w:tc>
        <w:tc>
          <w:tcPr>
            <w:tcW w:w="1739" w:type="dxa"/>
            <w:noWrap/>
            <w:vAlign w:val="center"/>
          </w:tcPr>
          <w:p>
            <w:pPr>
              <w:widowControl/>
              <w:snapToGrid w:val="0"/>
              <w:jc w:val="righ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单位：万元</w:t>
            </w:r>
          </w:p>
        </w:tc>
      </w:tr>
      <w:tr>
        <w:tblPrEx>
          <w:tblLayout w:type="fixed"/>
          <w:tblCellMar>
            <w:top w:w="0" w:type="dxa"/>
            <w:left w:w="108" w:type="dxa"/>
            <w:bottom w:w="0" w:type="dxa"/>
            <w:right w:w="108" w:type="dxa"/>
          </w:tblCellMar>
        </w:tblPrEx>
        <w:trPr>
          <w:cantSplit/>
          <w:trHeight w:val="283" w:hRule="atLeast"/>
          <w:tblHeader/>
          <w:jc w:val="center"/>
        </w:trPr>
        <w:tc>
          <w:tcPr>
            <w:tcW w:w="526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5203" w:type="dxa"/>
            <w:gridSpan w:val="2"/>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       出</w:t>
            </w:r>
          </w:p>
        </w:tc>
      </w:tr>
      <w:tr>
        <w:tblPrEx>
          <w:tblLayout w:type="fixed"/>
          <w:tblCellMar>
            <w:top w:w="0" w:type="dxa"/>
            <w:left w:w="108" w:type="dxa"/>
            <w:bottom w:w="0" w:type="dxa"/>
            <w:right w:w="108" w:type="dxa"/>
          </w:tblCellMar>
        </w:tblPrEx>
        <w:trPr>
          <w:cantSplit/>
          <w:trHeight w:val="283" w:hRule="atLeast"/>
          <w:tblHeader/>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w:t>
            </w:r>
          </w:p>
        </w:tc>
        <w:tc>
          <w:tcPr>
            <w:tcW w:w="2204"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项目(按功能科目)</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一、财政拨款</w:t>
            </w:r>
          </w:p>
        </w:tc>
        <w:tc>
          <w:tcPr>
            <w:tcW w:w="2204"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2,894.13</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社会保障和就业支出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581.36</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（一）一般公共预算收入</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2,894.13</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卫生健康支出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140.33</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（二）政府性基金预算收入</w:t>
            </w:r>
          </w:p>
        </w:tc>
        <w:tc>
          <w:tcPr>
            <w:tcW w:w="22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城乡社区支出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784.00</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（三）国有资本经营预算收入</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农林水支出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3,429.62</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二、教育收费资金收入</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住房保障支出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225.20</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三、事业收入</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其他支出</w:t>
            </w: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5,000.00</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四、事业单位经营收入</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五、附属单位上缴收入</w:t>
            </w:r>
          </w:p>
        </w:tc>
        <w:tc>
          <w:tcPr>
            <w:tcW w:w="22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六、上级补助收入</w:t>
            </w:r>
          </w:p>
        </w:tc>
        <w:tc>
          <w:tcPr>
            <w:tcW w:w="22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七、其他收入</w:t>
            </w:r>
          </w:p>
        </w:tc>
        <w:tc>
          <w:tcPr>
            <w:tcW w:w="22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356.90</w:t>
            </w: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000000"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2204"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346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73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nil"/>
              <w:left w:val="single" w:color="000000" w:sz="4" w:space="0"/>
              <w:bottom w:val="single" w:color="auto"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本年收入合计</w:t>
            </w:r>
          </w:p>
        </w:tc>
        <w:tc>
          <w:tcPr>
            <w:tcW w:w="2204" w:type="dxa"/>
            <w:tcBorders>
              <w:top w:val="nil"/>
              <w:left w:val="nil"/>
              <w:bottom w:val="single" w:color="auto"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3,251.03</w:t>
            </w:r>
          </w:p>
        </w:tc>
        <w:tc>
          <w:tcPr>
            <w:tcW w:w="3464" w:type="dxa"/>
            <w:tcBorders>
              <w:top w:val="nil"/>
              <w:left w:val="nil"/>
              <w:bottom w:val="single" w:color="auto" w:sz="4" w:space="0"/>
              <w:right w:val="single" w:color="000000"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本年支出合计</w:t>
            </w:r>
          </w:p>
        </w:tc>
        <w:tc>
          <w:tcPr>
            <w:tcW w:w="1739" w:type="dxa"/>
            <w:tcBorders>
              <w:top w:val="nil"/>
              <w:left w:val="nil"/>
              <w:bottom w:val="single" w:color="auto" w:sz="4" w:space="0"/>
              <w:right w:val="single" w:color="000000" w:sz="4" w:space="0"/>
            </w:tcBorders>
            <w:noWrap/>
            <w:vAlign w:val="bottom"/>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10,160.52</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single" w:color="auto" w:sz="4" w:space="0"/>
              <w:left w:val="single" w:color="auto" w:sz="4" w:space="0"/>
              <w:bottom w:val="single" w:color="auto" w:sz="4" w:space="0"/>
              <w:right w:val="single" w:color="auto"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八、使用非财政拨款结余</w:t>
            </w:r>
          </w:p>
        </w:tc>
        <w:tc>
          <w:tcPr>
            <w:tcW w:w="2204" w:type="dxa"/>
            <w:tcBorders>
              <w:top w:val="single" w:color="auto" w:sz="4" w:space="0"/>
              <w:left w:val="single" w:color="auto" w:sz="4" w:space="0"/>
              <w:bottom w:val="single" w:color="auto" w:sz="4" w:space="0"/>
              <w:right w:val="single" w:color="auto"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3464" w:type="dxa"/>
            <w:tcBorders>
              <w:top w:val="single" w:color="auto" w:sz="4" w:space="0"/>
              <w:left w:val="single" w:color="auto" w:sz="4" w:space="0"/>
              <w:bottom w:val="single" w:color="auto" w:sz="4" w:space="0"/>
              <w:right w:val="single" w:color="auto"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结转下年</w:t>
            </w:r>
          </w:p>
        </w:tc>
        <w:tc>
          <w:tcPr>
            <w:tcW w:w="1739" w:type="dxa"/>
            <w:tcBorders>
              <w:top w:val="single" w:color="auto" w:sz="4" w:space="0"/>
              <w:left w:val="single" w:color="auto" w:sz="4" w:space="0"/>
              <w:bottom w:val="single" w:color="auto" w:sz="4" w:space="0"/>
              <w:right w:val="single" w:color="auto"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r>
      <w:tr>
        <w:tblPrEx>
          <w:tblLayout w:type="fixed"/>
          <w:tblCellMar>
            <w:top w:w="0" w:type="dxa"/>
            <w:left w:w="108" w:type="dxa"/>
            <w:bottom w:w="0" w:type="dxa"/>
            <w:right w:w="108" w:type="dxa"/>
          </w:tblCellMar>
        </w:tblPrEx>
        <w:trPr>
          <w:cantSplit/>
          <w:trHeight w:val="283" w:hRule="atLeast"/>
          <w:jc w:val="center"/>
        </w:trPr>
        <w:tc>
          <w:tcPr>
            <w:tcW w:w="3059" w:type="dxa"/>
            <w:tcBorders>
              <w:top w:val="single" w:color="auto" w:sz="4" w:space="0"/>
              <w:left w:val="single" w:color="000000" w:sz="4" w:space="0"/>
              <w:bottom w:val="single" w:color="auto" w:sz="4" w:space="0"/>
              <w:right w:val="nil"/>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九、上年结转（结余）</w:t>
            </w:r>
          </w:p>
        </w:tc>
        <w:tc>
          <w:tcPr>
            <w:tcW w:w="2204" w:type="dxa"/>
            <w:tcBorders>
              <w:top w:val="single" w:color="auto" w:sz="4" w:space="0"/>
              <w:left w:val="single" w:color="000000" w:sz="4" w:space="0"/>
              <w:bottom w:val="single" w:color="auto" w:sz="4" w:space="0"/>
              <w:right w:val="single" w:color="000000"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6,909.50</w:t>
            </w:r>
          </w:p>
        </w:tc>
        <w:tc>
          <w:tcPr>
            <w:tcW w:w="3464" w:type="dxa"/>
            <w:tcBorders>
              <w:top w:val="single" w:color="auto" w:sz="4" w:space="0"/>
              <w:left w:val="nil"/>
              <w:bottom w:val="single" w:color="auto" w:sz="4" w:space="0"/>
              <w:right w:val="single" w:color="000000" w:sz="4" w:space="0"/>
            </w:tcBorders>
            <w:noWrap/>
            <w:vAlign w:val="bottom"/>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739" w:type="dxa"/>
            <w:tcBorders>
              <w:top w:val="single" w:color="auto" w:sz="4" w:space="0"/>
              <w:left w:val="nil"/>
              <w:bottom w:val="single" w:color="auto" w:sz="4" w:space="0"/>
              <w:right w:val="single" w:color="000000" w:sz="4" w:space="0"/>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tblPrEx>
          <w:tblLayout w:type="fixed"/>
          <w:tblCellMar>
            <w:top w:w="0" w:type="dxa"/>
            <w:left w:w="108" w:type="dxa"/>
            <w:bottom w:w="0" w:type="dxa"/>
            <w:right w:w="108" w:type="dxa"/>
          </w:tblCellMar>
        </w:tblPrEx>
        <w:trPr>
          <w:trHeight w:val="283" w:hRule="atLeast"/>
          <w:jc w:val="center"/>
        </w:trPr>
        <w:tc>
          <w:tcPr>
            <w:tcW w:w="3059" w:type="dxa"/>
            <w:tcBorders>
              <w:top w:val="single" w:color="auto" w:sz="4" w:space="0"/>
              <w:left w:val="single" w:color="auto" w:sz="4" w:space="0"/>
              <w:bottom w:val="single" w:color="auto" w:sz="4" w:space="0"/>
              <w:right w:val="single" w:color="auto"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收入总计</w:t>
            </w:r>
          </w:p>
        </w:tc>
        <w:tc>
          <w:tcPr>
            <w:tcW w:w="2204"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10,160.52</w:t>
            </w:r>
          </w:p>
        </w:tc>
        <w:tc>
          <w:tcPr>
            <w:tcW w:w="3464" w:type="dxa"/>
            <w:tcBorders>
              <w:top w:val="single" w:color="auto" w:sz="4" w:space="0"/>
              <w:left w:val="single" w:color="auto" w:sz="4" w:space="0"/>
              <w:bottom w:val="single" w:color="auto" w:sz="4" w:space="0"/>
              <w:right w:val="single" w:color="auto" w:sz="4" w:space="0"/>
            </w:tcBorders>
            <w:noWrap/>
            <w:vAlign w:val="center"/>
          </w:tcPr>
          <w:p>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支出总计</w:t>
            </w:r>
          </w:p>
        </w:tc>
        <w:tc>
          <w:tcPr>
            <w:tcW w:w="1739" w:type="dxa"/>
            <w:tcBorders>
              <w:top w:val="single" w:color="auto" w:sz="4" w:space="0"/>
              <w:left w:val="single" w:color="auto" w:sz="4" w:space="0"/>
              <w:bottom w:val="single" w:color="auto" w:sz="4" w:space="0"/>
              <w:right w:val="single" w:color="auto" w:sz="4" w:space="0"/>
            </w:tcBorders>
            <w:noWrap/>
            <w:vAlign w:val="bottom"/>
          </w:tcPr>
          <w:p>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10,160.52</w:t>
            </w:r>
          </w:p>
        </w:tc>
      </w:tr>
    </w:tbl>
    <w:p>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11169" w:type="dxa"/>
        <w:tblInd w:w="-329" w:type="dxa"/>
        <w:tblLayout w:type="fixed"/>
        <w:tblCellMar>
          <w:top w:w="0" w:type="dxa"/>
          <w:left w:w="108" w:type="dxa"/>
          <w:bottom w:w="0" w:type="dxa"/>
          <w:right w:w="108" w:type="dxa"/>
        </w:tblCellMar>
      </w:tblPr>
      <w:tblGrid>
        <w:gridCol w:w="1945"/>
        <w:gridCol w:w="880"/>
        <w:gridCol w:w="771"/>
        <w:gridCol w:w="847"/>
        <w:gridCol w:w="943"/>
        <w:gridCol w:w="612"/>
        <w:gridCol w:w="574"/>
        <w:gridCol w:w="648"/>
        <w:gridCol w:w="820"/>
        <w:gridCol w:w="746"/>
        <w:gridCol w:w="538"/>
        <w:gridCol w:w="489"/>
        <w:gridCol w:w="746"/>
        <w:gridCol w:w="610"/>
      </w:tblGrid>
      <w:tr>
        <w:tblPrEx>
          <w:tblLayout w:type="fixed"/>
          <w:tblCellMar>
            <w:top w:w="0" w:type="dxa"/>
            <w:left w:w="108" w:type="dxa"/>
            <w:bottom w:w="0" w:type="dxa"/>
            <w:right w:w="108" w:type="dxa"/>
          </w:tblCellMar>
        </w:tblPrEx>
        <w:trPr>
          <w:trHeight w:val="372" w:hRule="atLeast"/>
        </w:trPr>
        <w:tc>
          <w:tcPr>
            <w:tcW w:w="11169" w:type="dxa"/>
            <w:gridSpan w:val="14"/>
            <w:tcBorders>
              <w:top w:val="nil"/>
              <w:left w:val="nil"/>
              <w:bottom w:val="nil"/>
              <w:right w:val="nil"/>
            </w:tcBorders>
            <w:shd w:val="clear" w:color="auto" w:fill="auto"/>
            <w:noWrap/>
            <w:vAlign w:val="center"/>
          </w:tcPr>
          <w:p>
            <w:pPr>
              <w:widowControl/>
              <w:jc w:val="center"/>
              <w:rPr>
                <w:rFonts w:ascii="宋体" w:hAnsi="宋体" w:eastAsia="宋体" w:cs="Arial"/>
                <w:b/>
                <w:bCs/>
                <w:color w:val="000000"/>
                <w:kern w:val="0"/>
                <w:sz w:val="32"/>
                <w:szCs w:val="32"/>
              </w:rPr>
            </w:pPr>
            <w:r>
              <w:rPr>
                <w:rFonts w:hint="eastAsia" w:asciiTheme="minorEastAsia" w:hAnsiTheme="minorEastAsia" w:eastAsiaTheme="minorEastAsia" w:cstheme="minorEastAsia"/>
                <w:color w:val="000000"/>
                <w:sz w:val="18"/>
                <w:szCs w:val="18"/>
              </w:rPr>
              <w:t>部门收入总表</w:t>
            </w:r>
          </w:p>
        </w:tc>
      </w:tr>
      <w:tr>
        <w:tblPrEx>
          <w:tblLayout w:type="fixed"/>
          <w:tblCellMar>
            <w:top w:w="0" w:type="dxa"/>
            <w:left w:w="108" w:type="dxa"/>
            <w:bottom w:w="0" w:type="dxa"/>
            <w:right w:w="108" w:type="dxa"/>
          </w:tblCellMar>
        </w:tblPrEx>
        <w:trPr>
          <w:trHeight w:val="327" w:hRule="atLeast"/>
        </w:trPr>
        <w:tc>
          <w:tcPr>
            <w:tcW w:w="4443" w:type="dxa"/>
            <w:gridSpan w:val="4"/>
            <w:tcBorders>
              <w:top w:val="nil"/>
              <w:left w:val="nil"/>
              <w:bottom w:val="single" w:color="auto" w:sz="4" w:space="0"/>
              <w:right w:val="nil"/>
            </w:tcBorders>
            <w:shd w:val="clear" w:color="auto" w:fill="auto"/>
            <w:noWrap/>
            <w:vAlign w:val="center"/>
          </w:tcPr>
          <w:p>
            <w:pPr>
              <w:widowControl/>
              <w:jc w:val="left"/>
              <w:rPr>
                <w:rFonts w:ascii="Times New Roman" w:hAnsi="Times New Roman" w:eastAsia="Times New Roman" w:cs="Times New Roman"/>
                <w:kern w:val="0"/>
                <w:sz w:val="20"/>
                <w:szCs w:val="20"/>
              </w:rPr>
            </w:pPr>
            <w:r>
              <w:rPr>
                <w:rFonts w:hint="eastAsia" w:asciiTheme="minorEastAsia" w:hAnsiTheme="minorEastAsia" w:cstheme="minorEastAsia"/>
                <w:color w:val="000000"/>
                <w:kern w:val="0"/>
                <w:sz w:val="18"/>
                <w:szCs w:val="18"/>
                <w:lang w:eastAsia="zh-CN" w:bidi="ar"/>
              </w:rPr>
              <w:t>填报单位:302安义县农业农村局(部门)</w:t>
            </w:r>
          </w:p>
        </w:tc>
        <w:tc>
          <w:tcPr>
            <w:tcW w:w="943"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612"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574"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648"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820"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746"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538"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489" w:type="dxa"/>
            <w:tcBorders>
              <w:top w:val="nil"/>
              <w:left w:val="nil"/>
              <w:bottom w:val="single" w:color="auto" w:sz="4" w:space="0"/>
              <w:right w:val="nil"/>
            </w:tcBorders>
            <w:shd w:val="clear" w:color="auto" w:fill="auto"/>
            <w:noWrap/>
            <w:vAlign w:val="bottom"/>
          </w:tcPr>
          <w:p>
            <w:pPr>
              <w:widowControl/>
              <w:jc w:val="left"/>
              <w:rPr>
                <w:rFonts w:ascii="Times New Roman" w:hAnsi="Times New Roman" w:eastAsia="Times New Roman" w:cs="Times New Roman"/>
                <w:kern w:val="0"/>
                <w:sz w:val="20"/>
                <w:szCs w:val="20"/>
              </w:rPr>
            </w:pPr>
          </w:p>
        </w:tc>
        <w:tc>
          <w:tcPr>
            <w:tcW w:w="1356" w:type="dxa"/>
            <w:gridSpan w:val="2"/>
            <w:tcBorders>
              <w:top w:val="nil"/>
              <w:left w:val="nil"/>
              <w:bottom w:val="single" w:color="auto" w:sz="4" w:space="0"/>
              <w:right w:val="nil"/>
            </w:tcBorders>
            <w:shd w:val="clear" w:color="auto" w:fill="auto"/>
            <w:noWrap/>
            <w:vAlign w:val="bottom"/>
          </w:tcPr>
          <w:p>
            <w:pPr>
              <w:widowControl/>
              <w:jc w:val="right"/>
              <w:rPr>
                <w:rFonts w:hint="eastAsia" w:ascii="宋体" w:hAnsi="宋体" w:eastAsia="宋体" w:cs="宋体"/>
                <w:color w:val="000000"/>
                <w:kern w:val="0"/>
                <w:sz w:val="18"/>
                <w:szCs w:val="18"/>
                <w:lang w:eastAsia="zh-CN" w:bidi="ar"/>
              </w:rPr>
            </w:pPr>
            <w:r>
              <w:rPr>
                <w:rFonts w:hint="eastAsia" w:asciiTheme="minorEastAsia" w:hAnsiTheme="minorEastAsia" w:cstheme="minorEastAsia"/>
                <w:color w:val="000000"/>
                <w:kern w:val="0"/>
                <w:sz w:val="18"/>
                <w:szCs w:val="18"/>
                <w:lang w:eastAsia="zh-CN" w:bidi="ar"/>
              </w:rPr>
              <w:t>单位：万元</w:t>
            </w:r>
          </w:p>
        </w:tc>
      </w:tr>
      <w:tr>
        <w:tblPrEx>
          <w:tblLayout w:type="fixed"/>
          <w:tblCellMar>
            <w:top w:w="0" w:type="dxa"/>
            <w:left w:w="108" w:type="dxa"/>
            <w:bottom w:w="0" w:type="dxa"/>
            <w:right w:w="108" w:type="dxa"/>
          </w:tblCellMar>
        </w:tblPrEx>
        <w:trPr>
          <w:cantSplit/>
          <w:trHeight w:val="283" w:hRule="atLeast"/>
        </w:trPr>
        <w:tc>
          <w:tcPr>
            <w:tcW w:w="1945" w:type="dxa"/>
            <w:vMerge w:val="restart"/>
            <w:tcBorders>
              <w:top w:val="single" w:color="auto" w:sz="4" w:space="0"/>
              <w:left w:val="single" w:color="auto" w:sz="4" w:space="0"/>
              <w:right w:val="single" w:color="auto" w:sz="4" w:space="0"/>
            </w:tcBorders>
            <w:shd w:val="clear" w:color="auto" w:fill="auto"/>
            <w:noWrap/>
            <w:vAlign w:val="center"/>
          </w:tcPr>
          <w:p>
            <w:pPr>
              <w:widowControl/>
              <w:snapToGrid w:val="0"/>
              <w:jc w:val="center"/>
              <w:textAlignment w:val="center"/>
              <w:rPr>
                <w:rFonts w:hint="default" w:asciiTheme="minorEastAsia" w:hAnsiTheme="minorEastAsia" w:eastAsiaTheme="minorEastAsia" w:cstheme="minorEastAsia"/>
                <w:color w:val="000000"/>
                <w:kern w:val="0"/>
                <w:sz w:val="13"/>
                <w:szCs w:val="13"/>
                <w:lang w:val="en-US" w:eastAsia="zh-CN" w:bidi="ar"/>
              </w:rPr>
            </w:pPr>
            <w:r>
              <w:rPr>
                <w:rFonts w:hint="eastAsia" w:asciiTheme="minorEastAsia" w:hAnsiTheme="minorEastAsia" w:cstheme="minorEastAsia"/>
                <w:color w:val="000000"/>
                <w:kern w:val="0"/>
                <w:sz w:val="13"/>
                <w:szCs w:val="13"/>
                <w:lang w:val="en-US" w:eastAsia="zh-CN" w:bidi="ar"/>
              </w:rPr>
              <w:t>单位名称</w:t>
            </w:r>
          </w:p>
        </w:tc>
        <w:tc>
          <w:tcPr>
            <w:tcW w:w="88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合计</w:t>
            </w:r>
          </w:p>
        </w:tc>
        <w:tc>
          <w:tcPr>
            <w:tcW w:w="7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上年结转</w:t>
            </w:r>
          </w:p>
        </w:tc>
        <w:tc>
          <w:tcPr>
            <w:tcW w:w="297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财政拨款</w:t>
            </w:r>
          </w:p>
        </w:tc>
        <w:tc>
          <w:tcPr>
            <w:tcW w:w="64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教育收费资金收入</w:t>
            </w:r>
          </w:p>
        </w:tc>
        <w:tc>
          <w:tcPr>
            <w:tcW w:w="8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事业收入</w:t>
            </w:r>
          </w:p>
        </w:tc>
        <w:tc>
          <w:tcPr>
            <w:tcW w:w="7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事业单位经营收入</w:t>
            </w:r>
          </w:p>
        </w:tc>
        <w:tc>
          <w:tcPr>
            <w:tcW w:w="5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附属单位上缴收入</w:t>
            </w:r>
          </w:p>
        </w:tc>
        <w:tc>
          <w:tcPr>
            <w:tcW w:w="4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上级补助收入</w:t>
            </w:r>
          </w:p>
        </w:tc>
        <w:tc>
          <w:tcPr>
            <w:tcW w:w="7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其他收入</w:t>
            </w:r>
          </w:p>
        </w:tc>
        <w:tc>
          <w:tcPr>
            <w:tcW w:w="6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使用非财政拨款结余</w:t>
            </w:r>
          </w:p>
        </w:tc>
      </w:tr>
      <w:tr>
        <w:tblPrEx>
          <w:tblLayout w:type="fixed"/>
          <w:tblCellMar>
            <w:top w:w="0" w:type="dxa"/>
            <w:left w:w="108" w:type="dxa"/>
            <w:bottom w:w="0" w:type="dxa"/>
            <w:right w:w="108" w:type="dxa"/>
          </w:tblCellMar>
        </w:tblPrEx>
        <w:trPr>
          <w:cantSplit/>
          <w:trHeight w:val="554" w:hRule="atLeast"/>
        </w:trPr>
        <w:tc>
          <w:tcPr>
            <w:tcW w:w="1945" w:type="dxa"/>
            <w:vMerge w:val="continue"/>
            <w:tcBorders>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8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7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小计</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一般公共预算拨款收入</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政府性基金预算拨款收入</w:t>
            </w:r>
          </w:p>
        </w:tc>
        <w:tc>
          <w:tcPr>
            <w:tcW w:w="5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国有资本经营预算收入</w:t>
            </w:r>
          </w:p>
        </w:tc>
        <w:tc>
          <w:tcPr>
            <w:tcW w:w="64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8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7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53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48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7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c>
          <w:tcPr>
            <w:tcW w:w="61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color w:val="000000"/>
                <w:kern w:val="0"/>
                <w:sz w:val="13"/>
                <w:szCs w:val="13"/>
              </w:rPr>
            </w:pPr>
          </w:p>
        </w:tc>
      </w:tr>
      <w:tr>
        <w:tblPrEx>
          <w:tblLayout w:type="fixed"/>
          <w:tblCellMar>
            <w:top w:w="0" w:type="dxa"/>
            <w:left w:w="108" w:type="dxa"/>
            <w:bottom w:w="0" w:type="dxa"/>
            <w:right w:w="108" w:type="dxa"/>
          </w:tblCellMar>
        </w:tblPrEx>
        <w:trPr>
          <w:cantSplit/>
          <w:trHeight w:val="283" w:hRule="atLeast"/>
        </w:trPr>
        <w:tc>
          <w:tcPr>
            <w:tcW w:w="19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w:t>
            </w:r>
          </w:p>
        </w:tc>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1</w:t>
            </w:r>
          </w:p>
        </w:tc>
        <w:tc>
          <w:tcPr>
            <w:tcW w:w="7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2</w:t>
            </w:r>
          </w:p>
        </w:tc>
        <w:tc>
          <w:tcPr>
            <w:tcW w:w="8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3</w:t>
            </w:r>
          </w:p>
        </w:tc>
        <w:tc>
          <w:tcPr>
            <w:tcW w:w="9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4</w:t>
            </w:r>
          </w:p>
        </w:tc>
        <w:tc>
          <w:tcPr>
            <w:tcW w:w="6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5</w:t>
            </w:r>
          </w:p>
        </w:tc>
        <w:tc>
          <w:tcPr>
            <w:tcW w:w="57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6</w:t>
            </w:r>
          </w:p>
        </w:tc>
        <w:tc>
          <w:tcPr>
            <w:tcW w:w="6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7</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8</w:t>
            </w:r>
          </w:p>
        </w:tc>
        <w:tc>
          <w:tcPr>
            <w:tcW w:w="7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9</w:t>
            </w:r>
          </w:p>
        </w:tc>
        <w:tc>
          <w:tcPr>
            <w:tcW w:w="53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lang w:val="en-US" w:eastAsia="zh-CN"/>
              </w:rPr>
              <w:t>1</w:t>
            </w:r>
            <w:r>
              <w:rPr>
                <w:rFonts w:hint="eastAsia" w:ascii="宋体" w:hAnsi="宋体" w:eastAsia="宋体" w:cs="Arial"/>
                <w:color w:val="000000"/>
                <w:kern w:val="0"/>
                <w:sz w:val="13"/>
                <w:szCs w:val="13"/>
              </w:rPr>
              <w:t>0</w:t>
            </w:r>
          </w:p>
        </w:tc>
        <w:tc>
          <w:tcPr>
            <w:tcW w:w="4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11</w:t>
            </w:r>
          </w:p>
        </w:tc>
        <w:tc>
          <w:tcPr>
            <w:tcW w:w="7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12</w:t>
            </w:r>
          </w:p>
        </w:tc>
        <w:tc>
          <w:tcPr>
            <w:tcW w:w="6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13</w:t>
            </w:r>
          </w:p>
        </w:tc>
      </w:tr>
      <w:tr>
        <w:tblPrEx>
          <w:tblLayout w:type="fixed"/>
          <w:tblCellMar>
            <w:top w:w="0" w:type="dxa"/>
            <w:left w:w="108" w:type="dxa"/>
            <w:bottom w:w="0" w:type="dxa"/>
            <w:right w:w="108" w:type="dxa"/>
          </w:tblCellMar>
        </w:tblPrEx>
        <w:trPr>
          <w:cantSplit/>
          <w:trHeight w:val="454" w:hRule="atLeast"/>
        </w:trPr>
        <w:tc>
          <w:tcPr>
            <w:tcW w:w="19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合计</w:t>
            </w:r>
          </w:p>
        </w:tc>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10,160.52</w:t>
            </w:r>
          </w:p>
        </w:tc>
        <w:tc>
          <w:tcPr>
            <w:tcW w:w="7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6,909.50</w:t>
            </w:r>
          </w:p>
        </w:tc>
        <w:tc>
          <w:tcPr>
            <w:tcW w:w="8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2,894.13</w:t>
            </w:r>
          </w:p>
        </w:tc>
        <w:tc>
          <w:tcPr>
            <w:tcW w:w="9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2,894.13</w:t>
            </w:r>
          </w:p>
        </w:tc>
        <w:tc>
          <w:tcPr>
            <w:tcW w:w="6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57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6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7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53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4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7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356.90</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r>
      <w:tr>
        <w:tblPrEx>
          <w:tblLayout w:type="fixed"/>
          <w:tblCellMar>
            <w:top w:w="0" w:type="dxa"/>
            <w:left w:w="108" w:type="dxa"/>
            <w:bottom w:w="0" w:type="dxa"/>
            <w:right w:w="108" w:type="dxa"/>
          </w:tblCellMar>
        </w:tblPrEx>
        <w:trPr>
          <w:cantSplit/>
          <w:trHeight w:val="454" w:hRule="atLeast"/>
        </w:trPr>
        <w:tc>
          <w:tcPr>
            <w:tcW w:w="19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安义县农业农村局</w:t>
            </w:r>
          </w:p>
        </w:tc>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10,160.52</w:t>
            </w:r>
          </w:p>
        </w:tc>
        <w:tc>
          <w:tcPr>
            <w:tcW w:w="7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6,909.50</w:t>
            </w:r>
          </w:p>
        </w:tc>
        <w:tc>
          <w:tcPr>
            <w:tcW w:w="8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2,894.13</w:t>
            </w:r>
          </w:p>
        </w:tc>
        <w:tc>
          <w:tcPr>
            <w:tcW w:w="9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2,894.13</w:t>
            </w:r>
          </w:p>
        </w:tc>
        <w:tc>
          <w:tcPr>
            <w:tcW w:w="6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57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6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7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53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4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7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356.90</w:t>
            </w:r>
          </w:p>
        </w:tc>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r>
    </w:tbl>
    <w:p>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10466" w:type="dxa"/>
        <w:tblInd w:w="0" w:type="dxa"/>
        <w:tblLayout w:type="fixed"/>
        <w:tblCellMar>
          <w:top w:w="0" w:type="dxa"/>
          <w:left w:w="108" w:type="dxa"/>
          <w:bottom w:w="0" w:type="dxa"/>
          <w:right w:w="108" w:type="dxa"/>
        </w:tblCellMar>
      </w:tblPr>
      <w:tblGrid>
        <w:gridCol w:w="1918"/>
        <w:gridCol w:w="3803"/>
        <w:gridCol w:w="1913"/>
        <w:gridCol w:w="1350"/>
        <w:gridCol w:w="1482"/>
      </w:tblGrid>
      <w:tr>
        <w:tblPrEx>
          <w:tblLayout w:type="fixed"/>
          <w:tblCellMar>
            <w:top w:w="0" w:type="dxa"/>
            <w:left w:w="108" w:type="dxa"/>
            <w:bottom w:w="0" w:type="dxa"/>
            <w:right w:w="108" w:type="dxa"/>
          </w:tblCellMar>
        </w:tblPrEx>
        <w:trPr>
          <w:trHeight w:val="585" w:hRule="atLeast"/>
        </w:trPr>
        <w:tc>
          <w:tcPr>
            <w:tcW w:w="10466" w:type="dxa"/>
            <w:gridSpan w:val="5"/>
            <w:tcBorders>
              <w:top w:val="nil"/>
              <w:left w:val="nil"/>
              <w:bottom w:val="nil"/>
              <w:right w:val="nil"/>
            </w:tcBorders>
            <w:shd w:val="clear" w:color="auto" w:fill="auto"/>
            <w:noWrap/>
            <w:vAlign w:val="center"/>
          </w:tcPr>
          <w:p>
            <w:pPr>
              <w:widowControl/>
              <w:jc w:val="center"/>
              <w:rPr>
                <w:rFonts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部门支出总表</w:t>
            </w:r>
          </w:p>
        </w:tc>
      </w:tr>
      <w:tr>
        <w:tblPrEx>
          <w:tblLayout w:type="fixed"/>
          <w:tblCellMar>
            <w:top w:w="0" w:type="dxa"/>
            <w:left w:w="108" w:type="dxa"/>
            <w:bottom w:w="0" w:type="dxa"/>
            <w:right w:w="108" w:type="dxa"/>
          </w:tblCellMar>
        </w:tblPrEx>
        <w:trPr>
          <w:trHeight w:val="420" w:hRule="atLeast"/>
        </w:trPr>
        <w:tc>
          <w:tcPr>
            <w:tcW w:w="5721" w:type="dxa"/>
            <w:gridSpan w:val="2"/>
            <w:tcBorders>
              <w:top w:val="nil"/>
              <w:left w:val="nil"/>
              <w:bottom w:val="nil"/>
              <w:right w:val="nil"/>
            </w:tcBorders>
            <w:shd w:val="clear" w:color="auto" w:fill="auto"/>
            <w:noWrap/>
            <w:vAlign w:val="center"/>
          </w:tcPr>
          <w:p>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w:t>
            </w:r>
            <w:r>
              <w:rPr>
                <w:rFonts w:hint="eastAsia" w:asciiTheme="minorEastAsia" w:hAnsiTheme="minorEastAsia" w:cstheme="minorEastAsia"/>
                <w:color w:val="000000"/>
                <w:kern w:val="0"/>
                <w:sz w:val="18"/>
                <w:szCs w:val="18"/>
                <w:lang w:eastAsia="zh-CN" w:bidi="ar"/>
              </w:rPr>
              <w:t>302安义县农业农村局(部门)</w:t>
            </w:r>
          </w:p>
        </w:tc>
        <w:tc>
          <w:tcPr>
            <w:tcW w:w="1913" w:type="dxa"/>
            <w:tcBorders>
              <w:top w:val="nil"/>
              <w:left w:val="nil"/>
              <w:bottom w:val="nil"/>
              <w:right w:val="nil"/>
            </w:tcBorders>
            <w:shd w:val="clear" w:color="auto" w:fill="auto"/>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350" w:type="dxa"/>
            <w:tcBorders>
              <w:top w:val="nil"/>
              <w:left w:val="nil"/>
              <w:bottom w:val="nil"/>
              <w:right w:val="nil"/>
            </w:tcBorders>
            <w:shd w:val="clear" w:color="auto" w:fill="auto"/>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482" w:type="dxa"/>
            <w:tcBorders>
              <w:top w:val="nil"/>
              <w:left w:val="nil"/>
              <w:bottom w:val="nil"/>
              <w:right w:val="nil"/>
            </w:tcBorders>
            <w:shd w:val="clear" w:color="auto" w:fill="auto"/>
            <w:noWrap/>
            <w:vAlign w:val="bottom"/>
          </w:tcPr>
          <w:p>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83" w:hRule="atLeast"/>
        </w:trPr>
        <w:tc>
          <w:tcPr>
            <w:tcW w:w="57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1913" w:type="dxa"/>
            <w:vMerge w:val="restart"/>
            <w:tcBorders>
              <w:top w:val="single" w:color="000000" w:sz="4" w:space="0"/>
              <w:left w:val="single" w:color="000000" w:sz="4" w:space="0"/>
              <w:bottom w:val="single" w:color="000000" w:sz="4" w:space="0"/>
              <w:right w:val="nil"/>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350" w:type="dxa"/>
            <w:vMerge w:val="restart"/>
            <w:tcBorders>
              <w:top w:val="single" w:color="000000" w:sz="4" w:space="0"/>
              <w:left w:val="single" w:color="000000" w:sz="4" w:space="0"/>
              <w:bottom w:val="single" w:color="000000" w:sz="4" w:space="0"/>
              <w:right w:val="nil"/>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tblPrEx>
          <w:tblLayout w:type="fixed"/>
          <w:tblCellMar>
            <w:top w:w="0" w:type="dxa"/>
            <w:left w:w="108" w:type="dxa"/>
            <w:bottom w:w="0" w:type="dxa"/>
            <w:right w:w="108" w:type="dxa"/>
          </w:tblCellMar>
        </w:tblPrEx>
        <w:trPr>
          <w:cantSplit/>
          <w:trHeight w:val="283" w:hRule="atLeast"/>
        </w:trPr>
        <w:tc>
          <w:tcPr>
            <w:tcW w:w="1918" w:type="dxa"/>
            <w:tcBorders>
              <w:top w:val="nil"/>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3803" w:type="dxa"/>
            <w:tcBorders>
              <w:top w:val="nil"/>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913" w:type="dxa"/>
            <w:vMerge w:val="continue"/>
            <w:tcBorders>
              <w:top w:val="single" w:color="000000" w:sz="4" w:space="0"/>
              <w:left w:val="single" w:color="000000" w:sz="4" w:space="0"/>
              <w:bottom w:val="single" w:color="000000" w:sz="4" w:space="0"/>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350" w:type="dxa"/>
            <w:vMerge w:val="continue"/>
            <w:tcBorders>
              <w:top w:val="single" w:color="000000" w:sz="4" w:space="0"/>
              <w:left w:val="single" w:color="000000" w:sz="4" w:space="0"/>
              <w:bottom w:val="single" w:color="000000" w:sz="4" w:space="0"/>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r>
      <w:tr>
        <w:tblPrEx>
          <w:tblLayout w:type="fixed"/>
          <w:tblCellMar>
            <w:top w:w="0" w:type="dxa"/>
            <w:left w:w="108" w:type="dxa"/>
            <w:bottom w:w="0" w:type="dxa"/>
            <w:right w:w="108" w:type="dxa"/>
          </w:tblCellMar>
        </w:tblPrEx>
        <w:trPr>
          <w:cantSplit/>
          <w:trHeight w:val="283" w:hRule="atLeast"/>
        </w:trPr>
        <w:tc>
          <w:tcPr>
            <w:tcW w:w="1918" w:type="dxa"/>
            <w:tcBorders>
              <w:top w:val="nil"/>
              <w:left w:val="single" w:color="000000" w:sz="4" w:space="0"/>
              <w:bottom w:val="nil"/>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3803" w:type="dxa"/>
            <w:tcBorders>
              <w:top w:val="nil"/>
              <w:left w:val="nil"/>
              <w:bottom w:val="nil"/>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913" w:type="dxa"/>
            <w:tcBorders>
              <w:top w:val="nil"/>
              <w:left w:val="nil"/>
              <w:bottom w:val="nil"/>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1350" w:type="dxa"/>
            <w:tcBorders>
              <w:top w:val="nil"/>
              <w:left w:val="nil"/>
              <w:bottom w:val="nil"/>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1482" w:type="dxa"/>
            <w:tcBorders>
              <w:top w:val="nil"/>
              <w:left w:val="nil"/>
              <w:bottom w:val="nil"/>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10,160.52</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2,551.03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7,609.50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581.36</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581.36</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581.36</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581.36</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行政单位离退休</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424.94</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424.94</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156.42</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156.42</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66.48</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66.48</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2101103</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68.43</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68.43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5.42</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5.42</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城乡社区支出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784.00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784.00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21208</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国有土地使用权出让收入安排的支出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784.00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784.00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2120804</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农村基础设施建设支出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584.00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584.00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2120814</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农业生产发展支出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200.00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农林水支出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3,429.62</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1,604.13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1,825.50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21301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农业农村</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3,333.45</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1,604.13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1,729.33</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2130101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1,604.13</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1,604.13</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2130106</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科技转化与推广服务</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26.00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26.00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2130108</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病虫害控制</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17.97</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17.97</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2130109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农产品质量安全</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11.19</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11.19</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2130119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防灾救灾</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146.00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146.00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2130122</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农业生产发展</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773.28</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773.28</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2130124</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农村合作经济</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322.71</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322.71</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2130125</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农产品加工与促销</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2130135</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农业生态资源保护</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2130153</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耕地建设与利用</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208.04</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208.04</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2130199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其他农业农村支出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199.15</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199.15</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21308</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普惠金融发展支出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96.17</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96.17</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2130899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其他普惠金融发展支出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96.17</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96.17</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225.20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225.20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225.20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225.20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225.20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225.20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229</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其他支出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5,000.00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22904</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其他政府性基金及对应专项债务收入安排的支出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5,000.00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5,000.00</w:t>
            </w:r>
          </w:p>
        </w:tc>
      </w:tr>
      <w:tr>
        <w:tblPrEx>
          <w:tblLayout w:type="fixed"/>
          <w:tblCellMar>
            <w:top w:w="0" w:type="dxa"/>
            <w:left w:w="108" w:type="dxa"/>
            <w:bottom w:w="0" w:type="dxa"/>
            <w:right w:w="108" w:type="dxa"/>
          </w:tblCellMar>
        </w:tblPrEx>
        <w:trPr>
          <w:cantSplit/>
          <w:trHeight w:val="283" w:hRule="atLeast"/>
        </w:trPr>
        <w:tc>
          <w:tcPr>
            <w:tcW w:w="1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2290402</w:t>
            </w:r>
          </w:p>
        </w:tc>
        <w:tc>
          <w:tcPr>
            <w:tcW w:w="380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其他地方自行试点项目收益专项债券收入安排的支出</w:t>
            </w:r>
          </w:p>
        </w:tc>
        <w:tc>
          <w:tcPr>
            <w:tcW w:w="1913"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5,000.00</w:t>
            </w:r>
          </w:p>
        </w:tc>
        <w:tc>
          <w:tcPr>
            <w:tcW w:w="1350"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482" w:type="dxa"/>
            <w:tcBorders>
              <w:top w:val="single" w:color="000000" w:sz="4" w:space="0"/>
              <w:left w:val="nil"/>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5,000.00</w:t>
            </w:r>
          </w:p>
        </w:tc>
      </w:tr>
    </w:tbl>
    <w:p>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10456" w:type="dxa"/>
        <w:tblInd w:w="0" w:type="dxa"/>
        <w:tblLayout w:type="fixed"/>
        <w:tblCellMar>
          <w:top w:w="0" w:type="dxa"/>
          <w:left w:w="108" w:type="dxa"/>
          <w:bottom w:w="0" w:type="dxa"/>
          <w:right w:w="108" w:type="dxa"/>
        </w:tblCellMar>
      </w:tblPr>
      <w:tblGrid>
        <w:gridCol w:w="2024"/>
        <w:gridCol w:w="1376"/>
        <w:gridCol w:w="1982"/>
        <w:gridCol w:w="1207"/>
        <w:gridCol w:w="1280"/>
        <w:gridCol w:w="1259"/>
        <w:gridCol w:w="1328"/>
      </w:tblGrid>
      <w:tr>
        <w:tblPrEx>
          <w:tblLayout w:type="fixed"/>
          <w:tblCellMar>
            <w:top w:w="0" w:type="dxa"/>
            <w:left w:w="108" w:type="dxa"/>
            <w:bottom w:w="0" w:type="dxa"/>
            <w:right w:w="108" w:type="dxa"/>
          </w:tblCellMar>
        </w:tblPrEx>
        <w:trPr>
          <w:trHeight w:val="585" w:hRule="atLeast"/>
          <w:tblHeader/>
        </w:trPr>
        <w:tc>
          <w:tcPr>
            <w:tcW w:w="10456" w:type="dxa"/>
            <w:gridSpan w:val="7"/>
            <w:noWrap/>
            <w:vAlign w:val="center"/>
          </w:tcPr>
          <w:p>
            <w:pPr>
              <w:widowControl/>
              <w:jc w:val="center"/>
              <w:rPr>
                <w:rFonts w:hint="eastAsia"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财政拨款收支总表</w:t>
            </w:r>
          </w:p>
        </w:tc>
      </w:tr>
      <w:tr>
        <w:tblPrEx>
          <w:tblLayout w:type="fixed"/>
          <w:tblCellMar>
            <w:top w:w="0" w:type="dxa"/>
            <w:left w:w="108" w:type="dxa"/>
            <w:bottom w:w="0" w:type="dxa"/>
            <w:right w:w="108" w:type="dxa"/>
          </w:tblCellMar>
        </w:tblPrEx>
        <w:trPr>
          <w:cantSplit/>
          <w:trHeight w:val="346" w:hRule="atLeast"/>
          <w:tblHeader/>
        </w:trPr>
        <w:tc>
          <w:tcPr>
            <w:tcW w:w="5382" w:type="dxa"/>
            <w:gridSpan w:val="3"/>
            <w:noWrap/>
            <w:vAlign w:val="center"/>
          </w:tcPr>
          <w:p>
            <w:pPr>
              <w:widowControl/>
              <w:snapToGrid w:val="0"/>
              <w:jc w:val="lef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填报单位:302安义县农业农村局(部门)</w:t>
            </w:r>
          </w:p>
        </w:tc>
        <w:tc>
          <w:tcPr>
            <w:tcW w:w="1207"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280"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2587" w:type="dxa"/>
            <w:gridSpan w:val="2"/>
            <w:noWrap/>
            <w:vAlign w:val="center"/>
          </w:tcPr>
          <w:p>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单位：万元</w:t>
            </w:r>
          </w:p>
        </w:tc>
      </w:tr>
      <w:tr>
        <w:tblPrEx>
          <w:tblLayout w:type="fixed"/>
          <w:tblCellMar>
            <w:top w:w="0" w:type="dxa"/>
            <w:left w:w="108" w:type="dxa"/>
            <w:bottom w:w="0" w:type="dxa"/>
            <w:right w:w="108" w:type="dxa"/>
          </w:tblCellMar>
        </w:tblPrEx>
        <w:trPr>
          <w:cantSplit/>
          <w:trHeight w:val="283" w:hRule="atLeast"/>
          <w:tblHeader/>
        </w:trPr>
        <w:tc>
          <w:tcPr>
            <w:tcW w:w="3400" w:type="dxa"/>
            <w:gridSpan w:val="2"/>
            <w:tcBorders>
              <w:top w:val="single" w:color="000000" w:sz="4" w:space="0"/>
              <w:left w:val="single" w:color="000000" w:sz="4" w:space="0"/>
              <w:bottom w:val="single" w:color="000000" w:sz="4" w:space="0"/>
              <w:right w:val="nil"/>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7056" w:type="dxa"/>
            <w:gridSpan w:val="5"/>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bidi="ar"/>
              </w:rPr>
              <w:t xml:space="preserve">出 </w:t>
            </w:r>
          </w:p>
        </w:tc>
      </w:tr>
      <w:tr>
        <w:tblPrEx>
          <w:tblLayout w:type="fixed"/>
          <w:tblCellMar>
            <w:top w:w="0" w:type="dxa"/>
            <w:left w:w="108" w:type="dxa"/>
            <w:bottom w:w="0" w:type="dxa"/>
            <w:right w:w="108" w:type="dxa"/>
          </w:tblCellMar>
        </w:tblPrEx>
        <w:trPr>
          <w:cantSplit/>
          <w:trHeight w:val="283" w:hRule="atLeast"/>
          <w:tblHeader/>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w:t>
            </w:r>
          </w:p>
        </w:tc>
        <w:tc>
          <w:tcPr>
            <w:tcW w:w="1376"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预算数</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项目(按功能科目)</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一般公共预算支出</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政府性基金预算支出</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国有资本经营预算支出</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w:t>
            </w:r>
            <w:r>
              <w:rPr>
                <w:rFonts w:hint="eastAsia" w:asciiTheme="minorEastAsia" w:hAnsiTheme="minorEastAsia" w:cstheme="minorEastAsia"/>
                <w:color w:val="000000"/>
                <w:kern w:val="0"/>
                <w:sz w:val="21"/>
                <w:szCs w:val="21"/>
                <w:lang w:val="en-US" w:eastAsia="zh-CN" w:bidi="ar"/>
              </w:rPr>
              <w:t>本年</w:t>
            </w:r>
            <w:r>
              <w:rPr>
                <w:rFonts w:hint="eastAsia" w:asciiTheme="minorEastAsia" w:hAnsiTheme="minorEastAsia" w:cstheme="minorEastAsia"/>
                <w:color w:val="000000"/>
                <w:kern w:val="0"/>
                <w:sz w:val="21"/>
                <w:szCs w:val="21"/>
                <w:lang w:bidi="ar"/>
              </w:rPr>
              <w:t>收入</w:t>
            </w:r>
          </w:p>
        </w:tc>
        <w:tc>
          <w:tcPr>
            <w:tcW w:w="1376"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2,894.13</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社会保障和就业支出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571.36</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571.36</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一般公共预算拨款收入</w:t>
            </w:r>
          </w:p>
        </w:tc>
        <w:tc>
          <w:tcPr>
            <w:tcW w:w="1376" w:type="dxa"/>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2,894.13</w:t>
            </w:r>
          </w:p>
        </w:tc>
        <w:tc>
          <w:tcPr>
            <w:tcW w:w="1982"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t>卫生健康支出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140.33</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140.33</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政府性基金预算拨款收入</w:t>
            </w:r>
          </w:p>
        </w:tc>
        <w:tc>
          <w:tcPr>
            <w:tcW w:w="1376"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t>城乡社区支出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784.00</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784.00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国有资本经营预算收入</w:t>
            </w: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t>农林水支出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3,172.72</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3,172.72</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住房保障支出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135.20</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135.20</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其他支出</w:t>
            </w: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5,000.00</w:t>
            </w: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5,000.00</w:t>
            </w: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376" w:type="dxa"/>
            <w:tcBorders>
              <w:top w:val="single" w:color="000000" w:sz="4" w:space="0"/>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376"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98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000000" w:sz="4" w:space="0"/>
              <w:right w:val="single" w:color="000000"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二、上年结转</w:t>
            </w:r>
          </w:p>
        </w:tc>
        <w:tc>
          <w:tcPr>
            <w:tcW w:w="1376" w:type="dxa"/>
            <w:tcBorders>
              <w:top w:val="nil"/>
              <w:left w:val="nil"/>
              <w:bottom w:val="single" w:color="auto"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6,909.50　</w:t>
            </w:r>
          </w:p>
        </w:tc>
        <w:tc>
          <w:tcPr>
            <w:tcW w:w="1982" w:type="dxa"/>
            <w:tcBorders>
              <w:top w:val="nil"/>
              <w:left w:val="nil"/>
              <w:bottom w:val="single" w:color="auto"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eastAsia="zh-CN" w:bidi="ar"/>
              </w:rPr>
            </w:pPr>
          </w:p>
        </w:tc>
        <w:tc>
          <w:tcPr>
            <w:tcW w:w="12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nil"/>
              <w:left w:val="single" w:color="000000" w:sz="4" w:space="0"/>
              <w:bottom w:val="single" w:color="auto" w:sz="4" w:space="0"/>
              <w:right w:val="single" w:color="auto" w:sz="4" w:space="0"/>
            </w:tcBorders>
            <w:noWrap/>
            <w:vAlign w:val="center"/>
          </w:tcPr>
          <w:p>
            <w:pPr>
              <w:widowControl/>
              <w:snapToGrid w:val="0"/>
              <w:ind w:firstLine="210" w:firstLineChars="10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一般公共预算拨款结转</w:t>
            </w:r>
          </w:p>
        </w:tc>
        <w:tc>
          <w:tcPr>
            <w:tcW w:w="1376" w:type="dxa"/>
            <w:tcBorders>
              <w:top w:val="single" w:color="auto" w:sz="4" w:space="0"/>
              <w:left w:val="single" w:color="auto" w:sz="4" w:space="0"/>
              <w:bottom w:val="single" w:color="auto" w:sz="4" w:space="0"/>
              <w:right w:val="single" w:color="auto" w:sz="4" w:space="0"/>
            </w:tcBorders>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1,125.50　</w:t>
            </w:r>
          </w:p>
        </w:tc>
        <w:tc>
          <w:tcPr>
            <w:tcW w:w="1982"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207" w:type="dxa"/>
            <w:tcBorders>
              <w:top w:val="nil"/>
              <w:left w:val="single" w:color="auto" w:sz="4" w:space="0"/>
              <w:bottom w:val="single" w:color="auto"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nil"/>
              <w:left w:val="nil"/>
              <w:bottom w:val="single" w:color="auto"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nil"/>
              <w:left w:val="nil"/>
              <w:bottom w:val="single" w:color="auto"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nil"/>
              <w:left w:val="nil"/>
              <w:bottom w:val="single" w:color="auto"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single" w:color="auto" w:sz="4" w:space="0"/>
              <w:left w:val="single" w:color="auto" w:sz="4" w:space="0"/>
              <w:bottom w:val="single" w:color="auto" w:sz="4" w:space="0"/>
              <w:right w:val="single" w:color="auto" w:sz="4" w:space="0"/>
            </w:tcBorders>
            <w:noWrap/>
            <w:vAlign w:val="center"/>
          </w:tcPr>
          <w:p>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政府性基金预算拨款结转</w:t>
            </w:r>
          </w:p>
        </w:tc>
        <w:tc>
          <w:tcPr>
            <w:tcW w:w="1376"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5,784.00</w:t>
            </w:r>
          </w:p>
        </w:tc>
        <w:tc>
          <w:tcPr>
            <w:tcW w:w="1982"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1207"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80"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259"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1328"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tblPrEx>
          <w:tblLayout w:type="fixed"/>
          <w:tblCellMar>
            <w:top w:w="0" w:type="dxa"/>
            <w:left w:w="108" w:type="dxa"/>
            <w:bottom w:w="0" w:type="dxa"/>
            <w:right w:w="108" w:type="dxa"/>
          </w:tblCellMar>
        </w:tblPrEx>
        <w:trPr>
          <w:cantSplit/>
          <w:trHeight w:val="283" w:hRule="atLeast"/>
        </w:trPr>
        <w:tc>
          <w:tcPr>
            <w:tcW w:w="2024"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收入总计</w:t>
            </w:r>
          </w:p>
        </w:tc>
        <w:tc>
          <w:tcPr>
            <w:tcW w:w="1376"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9,803.62</w:t>
            </w:r>
          </w:p>
        </w:tc>
        <w:tc>
          <w:tcPr>
            <w:tcW w:w="1982"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支出总计</w:t>
            </w:r>
          </w:p>
        </w:tc>
        <w:tc>
          <w:tcPr>
            <w:tcW w:w="1207"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9,803.62</w:t>
            </w:r>
          </w:p>
        </w:tc>
        <w:tc>
          <w:tcPr>
            <w:tcW w:w="1280"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4,019.62</w:t>
            </w:r>
          </w:p>
        </w:tc>
        <w:tc>
          <w:tcPr>
            <w:tcW w:w="1259"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5,784.00</w:t>
            </w:r>
          </w:p>
        </w:tc>
        <w:tc>
          <w:tcPr>
            <w:tcW w:w="1328" w:type="dxa"/>
            <w:tcBorders>
              <w:top w:val="single" w:color="auto" w:sz="4" w:space="0"/>
              <w:left w:val="single" w:color="auto" w:sz="4" w:space="0"/>
              <w:bottom w:val="single" w:color="auto" w:sz="4" w:space="0"/>
              <w:right w:val="single" w:color="auto" w:sz="4" w:space="0"/>
            </w:tcBorders>
            <w:noWrap/>
            <w:vAlign w:val="center"/>
          </w:tcPr>
          <w:p>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0.00</w:t>
            </w:r>
          </w:p>
        </w:tc>
      </w:tr>
    </w:tbl>
    <w:p>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10466" w:type="dxa"/>
        <w:tblInd w:w="0" w:type="dxa"/>
        <w:tblLayout w:type="fixed"/>
        <w:tblCellMar>
          <w:top w:w="0" w:type="dxa"/>
          <w:left w:w="108" w:type="dxa"/>
          <w:bottom w:w="0" w:type="dxa"/>
          <w:right w:w="108" w:type="dxa"/>
        </w:tblCellMar>
      </w:tblPr>
      <w:tblGrid>
        <w:gridCol w:w="1786"/>
        <w:gridCol w:w="3307"/>
        <w:gridCol w:w="2210"/>
        <w:gridCol w:w="1432"/>
        <w:gridCol w:w="1731"/>
      </w:tblGrid>
      <w:tr>
        <w:tblPrEx>
          <w:tblLayout w:type="fixed"/>
          <w:tblCellMar>
            <w:top w:w="0" w:type="dxa"/>
            <w:left w:w="108" w:type="dxa"/>
            <w:bottom w:w="0" w:type="dxa"/>
            <w:right w:w="108" w:type="dxa"/>
          </w:tblCellMar>
        </w:tblPrEx>
        <w:trPr>
          <w:trHeight w:val="585" w:hRule="atLeast"/>
          <w:tblHeader/>
        </w:trPr>
        <w:tc>
          <w:tcPr>
            <w:tcW w:w="10466" w:type="dxa"/>
            <w:gridSpan w:val="5"/>
            <w:noWrap/>
            <w:vAlign w:val="center"/>
          </w:tcPr>
          <w:p>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一般公共预算支出表</w:t>
            </w:r>
          </w:p>
        </w:tc>
      </w:tr>
      <w:tr>
        <w:tblPrEx>
          <w:tblLayout w:type="fixed"/>
          <w:tblCellMar>
            <w:top w:w="0" w:type="dxa"/>
            <w:left w:w="108" w:type="dxa"/>
            <w:bottom w:w="0" w:type="dxa"/>
            <w:right w:w="108" w:type="dxa"/>
          </w:tblCellMar>
        </w:tblPrEx>
        <w:trPr>
          <w:trHeight w:val="420" w:hRule="atLeast"/>
          <w:tblHeader/>
        </w:trPr>
        <w:tc>
          <w:tcPr>
            <w:tcW w:w="5093" w:type="dxa"/>
            <w:gridSpan w:val="2"/>
            <w:noWrap/>
            <w:vAlign w:val="center"/>
          </w:tcPr>
          <w:p>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填报单位:302安义县农业农村局(部门)</w:t>
            </w:r>
          </w:p>
        </w:tc>
        <w:tc>
          <w:tcPr>
            <w:tcW w:w="2210"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432"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731" w:type="dxa"/>
            <w:noWrap/>
            <w:vAlign w:val="center"/>
          </w:tcPr>
          <w:p>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83" w:hRule="atLeast"/>
          <w:tblHeader/>
        </w:trPr>
        <w:tc>
          <w:tcPr>
            <w:tcW w:w="509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5373"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tblPrEx>
          <w:tblLayout w:type="fixed"/>
          <w:tblCellMar>
            <w:top w:w="0" w:type="dxa"/>
            <w:left w:w="108" w:type="dxa"/>
            <w:bottom w:w="0" w:type="dxa"/>
            <w:right w:w="108" w:type="dxa"/>
          </w:tblCellMar>
        </w:tblPrEx>
        <w:trPr>
          <w:cantSplit/>
          <w:trHeight w:val="283" w:hRule="atLeast"/>
          <w:tblHeader/>
        </w:trPr>
        <w:tc>
          <w:tcPr>
            <w:tcW w:w="1786"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3307"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2210"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43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1731"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tblPrEx>
          <w:tblLayout w:type="fixed"/>
          <w:tblCellMar>
            <w:top w:w="0" w:type="dxa"/>
            <w:left w:w="108" w:type="dxa"/>
            <w:bottom w:w="0" w:type="dxa"/>
            <w:right w:w="108" w:type="dxa"/>
          </w:tblCellMar>
        </w:tblPrEx>
        <w:trPr>
          <w:cantSplit/>
          <w:trHeight w:val="283" w:hRule="atLeast"/>
          <w:tblHeader/>
        </w:trPr>
        <w:tc>
          <w:tcPr>
            <w:tcW w:w="1786" w:type="dxa"/>
            <w:tcBorders>
              <w:top w:val="nil"/>
              <w:left w:val="single" w:color="000000" w:sz="4" w:space="0"/>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3307"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2210"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1432"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1731" w:type="dxa"/>
            <w:tcBorders>
              <w:top w:val="nil"/>
              <w:left w:val="nil"/>
              <w:bottom w:val="nil"/>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2,894.13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2,194.13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700.00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571.36</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571.36</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571.36</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571.36</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行政单位离退休</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414.94</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414.94</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156.42</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156.42</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140.33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66.48</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66.48</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2101103</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68.43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68.43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5.42</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5.42</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农林水支出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2,047.23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1,347.23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700.00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21301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农业农村</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2,047.23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1,347.23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700.00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2130101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1,347.23</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1,347.23</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2130122</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农业生产发展</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700.00</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700.00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135.20</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135.20</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135.20</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135.20</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tblPrEx>
          <w:tblLayout w:type="fixed"/>
          <w:tblCellMar>
            <w:top w:w="0" w:type="dxa"/>
            <w:left w:w="108" w:type="dxa"/>
            <w:bottom w:w="0" w:type="dxa"/>
            <w:right w:w="108" w:type="dxa"/>
          </w:tblCellMar>
        </w:tblPrEx>
        <w:trPr>
          <w:cantSplit/>
          <w:trHeight w:val="283" w:hRule="atLeast"/>
        </w:trPr>
        <w:tc>
          <w:tcPr>
            <w:tcW w:w="17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3307"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2210"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135.20</w:t>
            </w:r>
          </w:p>
        </w:tc>
        <w:tc>
          <w:tcPr>
            <w:tcW w:w="1432"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135.20</w:t>
            </w:r>
          </w:p>
        </w:tc>
        <w:tc>
          <w:tcPr>
            <w:tcW w:w="1731"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bl>
    <w:p>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8"/>
        <w:tblW w:w="10466" w:type="dxa"/>
        <w:tblInd w:w="0" w:type="dxa"/>
        <w:tblLayout w:type="fixed"/>
        <w:tblCellMar>
          <w:top w:w="0" w:type="dxa"/>
          <w:left w:w="108" w:type="dxa"/>
          <w:bottom w:w="0" w:type="dxa"/>
          <w:right w:w="108" w:type="dxa"/>
        </w:tblCellMar>
      </w:tblPr>
      <w:tblGrid>
        <w:gridCol w:w="1964"/>
        <w:gridCol w:w="3056"/>
        <w:gridCol w:w="1865"/>
        <w:gridCol w:w="1762"/>
        <w:gridCol w:w="1819"/>
      </w:tblGrid>
      <w:tr>
        <w:tblPrEx>
          <w:tblLayout w:type="fixed"/>
          <w:tblCellMar>
            <w:top w:w="0" w:type="dxa"/>
            <w:left w:w="108" w:type="dxa"/>
            <w:bottom w:w="0" w:type="dxa"/>
            <w:right w:w="108" w:type="dxa"/>
          </w:tblCellMar>
        </w:tblPrEx>
        <w:trPr>
          <w:trHeight w:val="585" w:hRule="atLeast"/>
        </w:trPr>
        <w:tc>
          <w:tcPr>
            <w:tcW w:w="10466" w:type="dxa"/>
            <w:gridSpan w:val="5"/>
            <w:noWrap/>
            <w:vAlign w:val="center"/>
          </w:tcPr>
          <w:p>
            <w:pPr>
              <w:widowControl/>
              <w:jc w:val="center"/>
              <w:rPr>
                <w:rFonts w:hint="eastAsia" w:ascii="宋体" w:hAnsi="宋体" w:eastAsia="宋体" w:cs="Arial"/>
                <w:b/>
                <w:color w:val="000000"/>
                <w:kern w:val="0"/>
                <w:sz w:val="44"/>
                <w:szCs w:val="44"/>
              </w:rPr>
            </w:pPr>
            <w:r>
              <w:rPr>
                <w:rFonts w:hint="eastAsia" w:asciiTheme="minorEastAsia" w:hAnsiTheme="minorEastAsia" w:eastAsiaTheme="minorEastAsia" w:cstheme="minorEastAsia"/>
                <w:b/>
                <w:bCs/>
                <w:color w:val="000000"/>
                <w:kern w:val="0"/>
                <w:sz w:val="24"/>
                <w:szCs w:val="24"/>
                <w:lang w:bidi="ar"/>
              </w:rPr>
              <w:t>一般公共预算基本支出表</w:t>
            </w:r>
          </w:p>
        </w:tc>
      </w:tr>
      <w:tr>
        <w:tblPrEx>
          <w:tblLayout w:type="fixed"/>
          <w:tblCellMar>
            <w:top w:w="0" w:type="dxa"/>
            <w:left w:w="108" w:type="dxa"/>
            <w:bottom w:w="0" w:type="dxa"/>
            <w:right w:w="108" w:type="dxa"/>
          </w:tblCellMar>
        </w:tblPrEx>
        <w:trPr>
          <w:trHeight w:val="420" w:hRule="atLeast"/>
        </w:trPr>
        <w:tc>
          <w:tcPr>
            <w:tcW w:w="5020" w:type="dxa"/>
            <w:gridSpan w:val="2"/>
            <w:noWrap/>
            <w:vAlign w:val="center"/>
          </w:tcPr>
          <w:p>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填报单位:302安义县农业农村局(部门)</w:t>
            </w:r>
          </w:p>
        </w:tc>
        <w:tc>
          <w:tcPr>
            <w:tcW w:w="1865"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762" w:type="dxa"/>
            <w:noWrap/>
            <w:vAlign w:val="bottom"/>
          </w:tcPr>
          <w:p>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819" w:type="dxa"/>
            <w:noWrap/>
            <w:vAlign w:val="center"/>
          </w:tcPr>
          <w:p>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83" w:hRule="atLeast"/>
        </w:trPr>
        <w:tc>
          <w:tcPr>
            <w:tcW w:w="502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支出经济分类科目</w:t>
            </w:r>
          </w:p>
        </w:tc>
        <w:tc>
          <w:tcPr>
            <w:tcW w:w="5446"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年基本支出</w:t>
            </w:r>
          </w:p>
        </w:tc>
      </w:tr>
      <w:tr>
        <w:tblPrEx>
          <w:tblLayout w:type="fixed"/>
          <w:tblCellMar>
            <w:top w:w="0" w:type="dxa"/>
            <w:left w:w="108" w:type="dxa"/>
            <w:bottom w:w="0" w:type="dxa"/>
            <w:right w:w="108" w:type="dxa"/>
          </w:tblCellMar>
        </w:tblPrEx>
        <w:trPr>
          <w:cantSplit/>
          <w:trHeight w:val="283" w:hRule="atLeast"/>
        </w:trPr>
        <w:tc>
          <w:tcPr>
            <w:tcW w:w="196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3056" w:type="dxa"/>
            <w:tcBorders>
              <w:top w:val="nil"/>
              <w:left w:val="nil"/>
              <w:bottom w:val="single" w:color="000000" w:sz="4" w:space="0"/>
              <w:right w:val="nil"/>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865"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76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人员经费</w:t>
            </w:r>
          </w:p>
        </w:tc>
        <w:tc>
          <w:tcPr>
            <w:tcW w:w="181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公用经费</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2,194.13</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1,878.45</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315.68</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工资福利支出</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1,460.62</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1,460.62</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基本工资</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431.10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431.10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津贴补贴</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61.56</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61.56</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30103</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奖金</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84.85</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84.85</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30107</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绩效工资</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408.75</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408.75</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30108</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156.42</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156.42</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30110</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职工基本医疗保险缴费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66.48</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66.48</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公务员医疗补助缴费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68.43</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68.43</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其他社会保障缴费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5.42</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5.42</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30113</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135.20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135.20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30199</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其他工资福利支出</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42.40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42.40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商品和服务支出</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309.68</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309.68</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办公费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35.00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35.00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印刷费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30205</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水费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30206</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电费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12.00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12.00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30207</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邮电费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差旅费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30213</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维修（护）费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30216</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培训费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30217</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公务接待费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25.00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25.00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30226</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劳务费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18.00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18.00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30228</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工会经费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62.55</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62.55</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30231</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公务用车运行维护费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15.50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15.50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30239</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其他交通费用</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23.98</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23.98</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30299</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其他商品和服务支出</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87.65</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87.65</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303</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对个人和家庭的补助</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417.83</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417.83</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退休费</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400.73</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400.73</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30305</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生活补助</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2.89</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2.89</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30307</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医疗费补助</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14.21</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14.21</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310</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资本性支出</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6.00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6.00</w:t>
            </w:r>
          </w:p>
        </w:tc>
      </w:tr>
      <w:tr>
        <w:tblPrEx>
          <w:tblLayout w:type="fixed"/>
          <w:tblCellMar>
            <w:top w:w="0" w:type="dxa"/>
            <w:left w:w="108" w:type="dxa"/>
            <w:bottom w:w="0" w:type="dxa"/>
            <w:right w:w="108" w:type="dxa"/>
          </w:tblCellMar>
        </w:tblPrEx>
        <w:trPr>
          <w:cantSplit/>
          <w:trHeight w:val="283" w:hRule="atLeast"/>
        </w:trPr>
        <w:tc>
          <w:tcPr>
            <w:tcW w:w="196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31002</w:t>
            </w:r>
          </w:p>
        </w:tc>
        <w:tc>
          <w:tcPr>
            <w:tcW w:w="305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办公设备购置</w:t>
            </w:r>
          </w:p>
        </w:tc>
        <w:tc>
          <w:tcPr>
            <w:tcW w:w="186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c>
          <w:tcPr>
            <w:tcW w:w="1762"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181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r>
    </w:tbl>
    <w:p>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10468" w:type="dxa"/>
        <w:tblInd w:w="0" w:type="dxa"/>
        <w:tblLayout w:type="fixed"/>
        <w:tblCellMar>
          <w:top w:w="0" w:type="dxa"/>
          <w:left w:w="108" w:type="dxa"/>
          <w:bottom w:w="0" w:type="dxa"/>
          <w:right w:w="108" w:type="dxa"/>
        </w:tblCellMar>
      </w:tblPr>
      <w:tblGrid>
        <w:gridCol w:w="1333"/>
        <w:gridCol w:w="636"/>
        <w:gridCol w:w="1432"/>
        <w:gridCol w:w="1128"/>
        <w:gridCol w:w="1553"/>
        <w:gridCol w:w="992"/>
        <w:gridCol w:w="1248"/>
        <w:gridCol w:w="1137"/>
        <w:gridCol w:w="1009"/>
      </w:tblGrid>
      <w:tr>
        <w:tblPrEx>
          <w:tblLayout w:type="fixed"/>
          <w:tblCellMar>
            <w:top w:w="0" w:type="dxa"/>
            <w:left w:w="108" w:type="dxa"/>
            <w:bottom w:w="0" w:type="dxa"/>
            <w:right w:w="108" w:type="dxa"/>
          </w:tblCellMar>
        </w:tblPrEx>
        <w:trPr>
          <w:trHeight w:val="450" w:hRule="atLeast"/>
          <w:tblHeader/>
        </w:trPr>
        <w:tc>
          <w:tcPr>
            <w:tcW w:w="1333" w:type="dxa"/>
            <w:noWrap/>
            <w:vAlign w:val="bottom"/>
          </w:tcPr>
          <w:p>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636" w:type="dxa"/>
            <w:noWrap/>
            <w:vAlign w:val="bottom"/>
          </w:tcPr>
          <w:p>
            <w:pPr>
              <w:widowControl/>
              <w:jc w:val="left"/>
              <w:rPr>
                <w:rFonts w:ascii="Times New Roman" w:hAnsi="Times New Roman" w:eastAsia="宋体"/>
                <w:kern w:val="0"/>
                <w:sz w:val="20"/>
                <w:szCs w:val="20"/>
              </w:rPr>
            </w:pPr>
          </w:p>
        </w:tc>
        <w:tc>
          <w:tcPr>
            <w:tcW w:w="1432" w:type="dxa"/>
            <w:noWrap/>
            <w:vAlign w:val="bottom"/>
          </w:tcPr>
          <w:p>
            <w:pPr>
              <w:widowControl/>
              <w:jc w:val="left"/>
              <w:rPr>
                <w:rFonts w:ascii="Times New Roman" w:hAnsi="Times New Roman" w:eastAsia="宋体"/>
                <w:kern w:val="0"/>
                <w:sz w:val="20"/>
                <w:szCs w:val="20"/>
              </w:rPr>
            </w:pPr>
          </w:p>
        </w:tc>
        <w:tc>
          <w:tcPr>
            <w:tcW w:w="1128" w:type="dxa"/>
            <w:noWrap/>
            <w:vAlign w:val="bottom"/>
          </w:tcPr>
          <w:p>
            <w:pPr>
              <w:widowControl/>
              <w:jc w:val="left"/>
              <w:rPr>
                <w:rFonts w:ascii="Times New Roman" w:hAnsi="Times New Roman" w:eastAsia="宋体"/>
                <w:kern w:val="0"/>
                <w:sz w:val="20"/>
                <w:szCs w:val="20"/>
              </w:rPr>
            </w:pPr>
          </w:p>
        </w:tc>
        <w:tc>
          <w:tcPr>
            <w:tcW w:w="5939" w:type="dxa"/>
            <w:gridSpan w:val="5"/>
            <w:noWrap/>
            <w:vAlign w:val="center"/>
          </w:tcPr>
          <w:p>
            <w:pPr>
              <w:widowControl/>
              <w:snapToGrid w:val="0"/>
              <w:jc w:val="right"/>
              <w:textAlignment w:val="center"/>
              <w:rPr>
                <w:rFonts w:hint="eastAsia" w:asciiTheme="minorEastAsia" w:hAnsiTheme="minorEastAsia" w:cstheme="minorEastAsia"/>
                <w:color w:val="000000"/>
                <w:kern w:val="0"/>
                <w:sz w:val="13"/>
                <w:szCs w:val="13"/>
                <w:lang w:eastAsia="zh-CN" w:bidi="ar"/>
              </w:rPr>
            </w:pPr>
          </w:p>
        </w:tc>
      </w:tr>
      <w:tr>
        <w:tblPrEx>
          <w:tblLayout w:type="fixed"/>
          <w:tblCellMar>
            <w:top w:w="0" w:type="dxa"/>
            <w:left w:w="108" w:type="dxa"/>
            <w:bottom w:w="0" w:type="dxa"/>
            <w:right w:w="108" w:type="dxa"/>
          </w:tblCellMar>
        </w:tblPrEx>
        <w:trPr>
          <w:trHeight w:val="485" w:hRule="atLeast"/>
          <w:tblHeader/>
        </w:trPr>
        <w:tc>
          <w:tcPr>
            <w:tcW w:w="10468" w:type="dxa"/>
            <w:gridSpan w:val="9"/>
            <w:noWrap/>
            <w:vAlign w:val="center"/>
          </w:tcPr>
          <w:p>
            <w:pPr>
              <w:widowControl/>
              <w:snapToGrid w:val="0"/>
              <w:jc w:val="center"/>
              <w:textAlignment w:val="center"/>
              <w:rPr>
                <w:rFonts w:hint="default" w:eastAsia="仿宋_GB2312" w:asciiTheme="minorEastAsia" w:hAnsiTheme="minorEastAsia" w:cstheme="minorEastAsia"/>
                <w:color w:val="000000"/>
                <w:kern w:val="0"/>
                <w:sz w:val="13"/>
                <w:szCs w:val="13"/>
                <w:lang w:val="en-US" w:eastAsia="zh-CN" w:bidi="ar"/>
              </w:rPr>
            </w:pPr>
            <w:r>
              <w:rPr>
                <w:rFonts w:hint="eastAsia" w:asciiTheme="minorEastAsia" w:hAnsiTheme="minorEastAsia" w:eastAsiaTheme="minorEastAsia" w:cstheme="minorEastAsia"/>
                <w:b/>
                <w:bCs/>
                <w:color w:val="000000"/>
                <w:kern w:val="0"/>
                <w:sz w:val="24"/>
                <w:szCs w:val="24"/>
                <w:lang w:val="en-US" w:eastAsia="zh-CN" w:bidi="ar"/>
              </w:rPr>
              <w:t>财政拨款</w:t>
            </w:r>
            <w:r>
              <w:rPr>
                <w:rFonts w:hint="eastAsia" w:asciiTheme="minorEastAsia" w:hAnsiTheme="minorEastAsia" w:eastAsiaTheme="minorEastAsia" w:cstheme="minorEastAsia"/>
                <w:b/>
                <w:bCs/>
                <w:color w:val="000000"/>
                <w:kern w:val="0"/>
                <w:sz w:val="24"/>
                <w:szCs w:val="24"/>
                <w:lang w:bidi="ar"/>
              </w:rPr>
              <w:t>“三公”经费</w:t>
            </w:r>
            <w:r>
              <w:rPr>
                <w:rFonts w:hint="eastAsia" w:asciiTheme="minorEastAsia" w:hAnsiTheme="minorEastAsia" w:eastAsiaTheme="minorEastAsia" w:cstheme="minorEastAsia"/>
                <w:b/>
                <w:bCs/>
                <w:color w:val="000000"/>
                <w:kern w:val="0"/>
                <w:sz w:val="24"/>
                <w:szCs w:val="24"/>
                <w:lang w:val="en-US" w:eastAsia="zh-CN" w:bidi="ar"/>
              </w:rPr>
              <w:t>支出表</w:t>
            </w:r>
          </w:p>
        </w:tc>
      </w:tr>
      <w:tr>
        <w:tblPrEx>
          <w:tblLayout w:type="fixed"/>
          <w:tblCellMar>
            <w:top w:w="0" w:type="dxa"/>
            <w:left w:w="108" w:type="dxa"/>
            <w:bottom w:w="0" w:type="dxa"/>
            <w:right w:w="108" w:type="dxa"/>
          </w:tblCellMar>
        </w:tblPrEx>
        <w:trPr>
          <w:trHeight w:val="340" w:hRule="atLeast"/>
          <w:tblHeader/>
        </w:trPr>
        <w:tc>
          <w:tcPr>
            <w:tcW w:w="4529" w:type="dxa"/>
            <w:gridSpan w:val="4"/>
            <w:noWrap/>
            <w:vAlign w:val="center"/>
          </w:tcPr>
          <w:p>
            <w:pPr>
              <w:widowControl/>
              <w:jc w:val="left"/>
              <w:rPr>
                <w:rFonts w:ascii="Times New Roman" w:hAnsi="Times New Roman" w:eastAsia="宋体"/>
                <w:kern w:val="0"/>
                <w:sz w:val="20"/>
                <w:szCs w:val="20"/>
              </w:rPr>
            </w:pPr>
            <w:r>
              <w:rPr>
                <w:rFonts w:hint="eastAsia" w:asciiTheme="minorEastAsia" w:hAnsiTheme="minorEastAsia" w:cstheme="minorEastAsia"/>
                <w:color w:val="000000"/>
                <w:kern w:val="0"/>
                <w:sz w:val="18"/>
                <w:szCs w:val="18"/>
                <w:lang w:bidi="ar"/>
              </w:rPr>
              <w:t>填报单位:302安义县农业农村局(部门)</w:t>
            </w:r>
          </w:p>
        </w:tc>
        <w:tc>
          <w:tcPr>
            <w:tcW w:w="1553" w:type="dxa"/>
            <w:noWrap/>
            <w:vAlign w:val="bottom"/>
          </w:tcPr>
          <w:p>
            <w:pPr>
              <w:widowControl/>
              <w:jc w:val="left"/>
              <w:rPr>
                <w:rFonts w:ascii="Times New Roman" w:hAnsi="Times New Roman" w:eastAsia="宋体"/>
                <w:kern w:val="0"/>
                <w:sz w:val="20"/>
                <w:szCs w:val="20"/>
              </w:rPr>
            </w:pPr>
          </w:p>
        </w:tc>
        <w:tc>
          <w:tcPr>
            <w:tcW w:w="992" w:type="dxa"/>
            <w:noWrap/>
            <w:vAlign w:val="bottom"/>
          </w:tcPr>
          <w:p>
            <w:pPr>
              <w:widowControl/>
              <w:jc w:val="left"/>
              <w:rPr>
                <w:rFonts w:ascii="Times New Roman" w:hAnsi="Times New Roman" w:eastAsia="宋体"/>
                <w:kern w:val="0"/>
                <w:sz w:val="20"/>
                <w:szCs w:val="20"/>
              </w:rPr>
            </w:pPr>
          </w:p>
        </w:tc>
        <w:tc>
          <w:tcPr>
            <w:tcW w:w="1248" w:type="dxa"/>
            <w:noWrap/>
            <w:vAlign w:val="bottom"/>
          </w:tcPr>
          <w:p>
            <w:pPr>
              <w:widowControl/>
              <w:jc w:val="left"/>
              <w:rPr>
                <w:rFonts w:ascii="Times New Roman" w:hAnsi="Times New Roman" w:eastAsia="宋体"/>
                <w:kern w:val="0"/>
                <w:sz w:val="20"/>
                <w:szCs w:val="20"/>
              </w:rPr>
            </w:pPr>
          </w:p>
        </w:tc>
        <w:tc>
          <w:tcPr>
            <w:tcW w:w="2146" w:type="dxa"/>
            <w:gridSpan w:val="2"/>
            <w:noWrap/>
            <w:vAlign w:val="bottom"/>
          </w:tcPr>
          <w:p>
            <w:pPr>
              <w:widowControl/>
              <w:snapToGrid w:val="0"/>
              <w:jc w:val="right"/>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83" w:hRule="atLeast"/>
          <w:tblHeader/>
        </w:trPr>
        <w:tc>
          <w:tcPr>
            <w:tcW w:w="1969" w:type="dxa"/>
            <w:gridSpan w:val="2"/>
            <w:vMerge w:val="restart"/>
            <w:tcBorders>
              <w:top w:val="single" w:color="000000" w:sz="4" w:space="0"/>
              <w:left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4113"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因公出国(境)费</w:t>
            </w:r>
          </w:p>
        </w:tc>
        <w:tc>
          <w:tcPr>
            <w:tcW w:w="992"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公务接待费</w:t>
            </w:r>
          </w:p>
        </w:tc>
        <w:tc>
          <w:tcPr>
            <w:tcW w:w="3394"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公务用车购置及运行维护费</w:t>
            </w:r>
          </w:p>
        </w:tc>
      </w:tr>
      <w:tr>
        <w:tblPrEx>
          <w:tblLayout w:type="fixed"/>
          <w:tblCellMar>
            <w:top w:w="0" w:type="dxa"/>
            <w:left w:w="108" w:type="dxa"/>
            <w:bottom w:w="0" w:type="dxa"/>
            <w:right w:w="108" w:type="dxa"/>
          </w:tblCellMar>
        </w:tblPrEx>
        <w:trPr>
          <w:cantSplit/>
          <w:trHeight w:val="512" w:hRule="atLeast"/>
          <w:tblHeader/>
        </w:trPr>
        <w:tc>
          <w:tcPr>
            <w:tcW w:w="1969" w:type="dxa"/>
            <w:gridSpan w:val="2"/>
            <w:vMerge w:val="continue"/>
            <w:tcBorders>
              <w:left w:val="single" w:color="000000" w:sz="4" w:space="0"/>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43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1128"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一般公务出国（境）费</w:t>
            </w:r>
          </w:p>
        </w:tc>
        <w:tc>
          <w:tcPr>
            <w:tcW w:w="1553"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高等院校和科研院所学术交流合作出国（境）费</w:t>
            </w:r>
          </w:p>
        </w:tc>
        <w:tc>
          <w:tcPr>
            <w:tcW w:w="992" w:type="dxa"/>
            <w:vMerge w:val="continue"/>
            <w:tcBorders>
              <w:top w:val="single" w:color="000000" w:sz="4" w:space="0"/>
              <w:left w:val="single" w:color="000000" w:sz="4" w:space="0"/>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248"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1137" w:type="dxa"/>
            <w:tcBorders>
              <w:top w:val="nil"/>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公务用车运行维护费</w:t>
            </w:r>
          </w:p>
        </w:tc>
        <w:tc>
          <w:tcPr>
            <w:tcW w:w="100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w:t>
            </w:r>
          </w:p>
        </w:tc>
      </w:tr>
      <w:tr>
        <w:tblPrEx>
          <w:tblLayout w:type="fixed"/>
          <w:tblCellMar>
            <w:top w:w="0" w:type="dxa"/>
            <w:left w:w="108" w:type="dxa"/>
            <w:bottom w:w="0" w:type="dxa"/>
            <w:right w:w="108" w:type="dxa"/>
          </w:tblCellMar>
        </w:tblPrEx>
        <w:trPr>
          <w:cantSplit/>
          <w:trHeight w:val="283" w:hRule="atLeast"/>
          <w:tblHeader/>
        </w:trPr>
        <w:tc>
          <w:tcPr>
            <w:tcW w:w="1969" w:type="dxa"/>
            <w:gridSpan w:val="2"/>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eastAsiaTheme="minorEastAsia" w:cstheme="minorEastAsia"/>
                <w:color w:val="000000"/>
                <w:kern w:val="0"/>
                <w:sz w:val="18"/>
                <w:szCs w:val="18"/>
                <w:lang w:eastAsia="zh-CN" w:bidi="ar"/>
              </w:rPr>
            </w:pPr>
            <w:r>
              <w:rPr>
                <w:rFonts w:hint="eastAsia" w:asciiTheme="minorEastAsia" w:hAnsiTheme="minorEastAsia" w:cstheme="minorEastAsia"/>
                <w:color w:val="000000"/>
                <w:kern w:val="0"/>
                <w:sz w:val="18"/>
                <w:szCs w:val="18"/>
                <w:lang w:val="en-US" w:eastAsia="zh-CN" w:bidi="ar"/>
              </w:rPr>
              <w:t>1</w:t>
            </w:r>
          </w:p>
        </w:tc>
        <w:tc>
          <w:tcPr>
            <w:tcW w:w="1432"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1128"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c>
          <w:tcPr>
            <w:tcW w:w="1553"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4</w:t>
            </w:r>
          </w:p>
        </w:tc>
        <w:tc>
          <w:tcPr>
            <w:tcW w:w="992"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5</w:t>
            </w:r>
          </w:p>
        </w:tc>
        <w:tc>
          <w:tcPr>
            <w:tcW w:w="1248"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6</w:t>
            </w:r>
          </w:p>
        </w:tc>
        <w:tc>
          <w:tcPr>
            <w:tcW w:w="1137" w:type="dxa"/>
            <w:tcBorders>
              <w:top w:val="nil"/>
              <w:left w:val="single" w:color="000000" w:sz="4" w:space="0"/>
              <w:bottom w:val="nil"/>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7</w:t>
            </w:r>
          </w:p>
        </w:tc>
        <w:tc>
          <w:tcPr>
            <w:tcW w:w="1009" w:type="dxa"/>
            <w:tcBorders>
              <w:top w:val="nil"/>
              <w:left w:val="single" w:color="000000" w:sz="4" w:space="0"/>
              <w:bottom w:val="nil"/>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8</w:t>
            </w:r>
          </w:p>
        </w:tc>
      </w:tr>
      <w:tr>
        <w:tblPrEx>
          <w:tblLayout w:type="fixed"/>
          <w:tblCellMar>
            <w:top w:w="0" w:type="dxa"/>
            <w:left w:w="108" w:type="dxa"/>
            <w:bottom w:w="0" w:type="dxa"/>
            <w:right w:w="108" w:type="dxa"/>
          </w:tblCellMar>
        </w:tblPrEx>
        <w:trPr>
          <w:cantSplit/>
          <w:trHeight w:val="717" w:hRule="atLeast"/>
        </w:trPr>
        <w:tc>
          <w:tcPr>
            <w:tcW w:w="1969" w:type="dxa"/>
            <w:gridSpan w:val="2"/>
            <w:tcBorders>
              <w:top w:val="single" w:color="000000" w:sz="4" w:space="0"/>
              <w:left w:val="single" w:color="000000" w:sz="4" w:space="0"/>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40.50</w:t>
            </w:r>
          </w:p>
        </w:tc>
        <w:tc>
          <w:tcPr>
            <w:tcW w:w="1432" w:type="dxa"/>
            <w:tcBorders>
              <w:top w:val="single" w:color="000000" w:sz="4" w:space="0"/>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128" w:type="dxa"/>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1553" w:type="dxa"/>
            <w:tcBorders>
              <w:top w:val="single" w:color="000000" w:sz="4" w:space="0"/>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992" w:type="dxa"/>
            <w:tcBorders>
              <w:top w:val="single" w:color="000000" w:sz="4" w:space="0"/>
              <w:left w:val="nil"/>
              <w:bottom w:val="single" w:color="000000" w:sz="4" w:space="0"/>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25.00</w:t>
            </w:r>
          </w:p>
        </w:tc>
        <w:tc>
          <w:tcPr>
            <w:tcW w:w="1248" w:type="dxa"/>
            <w:tcBorders>
              <w:top w:val="single" w:color="000000" w:sz="4" w:space="0"/>
              <w:left w:val="single" w:color="000000" w:sz="4" w:space="0"/>
              <w:bottom w:val="single" w:color="000000" w:sz="4" w:space="0"/>
              <w:right w:val="nil"/>
            </w:tcBorders>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15.50</w:t>
            </w:r>
          </w:p>
        </w:tc>
        <w:tc>
          <w:tcPr>
            <w:tcW w:w="1137" w:type="dxa"/>
            <w:tcBorders>
              <w:top w:val="single" w:color="000000" w:sz="4" w:space="0"/>
              <w:left w:val="single" w:color="000000" w:sz="4" w:space="0"/>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15.50</w:t>
            </w:r>
          </w:p>
        </w:tc>
        <w:tc>
          <w:tcPr>
            <w:tcW w:w="1009" w:type="dxa"/>
            <w:tcBorders>
              <w:top w:val="single" w:color="000000" w:sz="4" w:space="0"/>
              <w:left w:val="nil"/>
              <w:bottom w:val="single" w:color="000000" w:sz="4" w:space="0"/>
              <w:right w:val="single" w:color="000000" w:sz="4" w:space="0"/>
            </w:tcBorders>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0.00</w:t>
            </w:r>
          </w:p>
        </w:tc>
      </w:tr>
    </w:tbl>
    <w:p>
      <w:pPr>
        <w:widowControl/>
        <w:jc w:val="left"/>
        <w:rPr>
          <w:rStyle w:val="12"/>
          <w:rFonts w:hint="eastAsia" w:ascii="仿宋" w:hAnsi="仿宋" w:eastAsia="仿宋"/>
          <w:bCs/>
          <w:sz w:val="32"/>
          <w:szCs w:val="32"/>
          <w:lang w:eastAsia="zh-CN"/>
        </w:rPr>
        <w:sectPr>
          <w:pgSz w:w="11906" w:h="16838"/>
          <w:pgMar w:top="720" w:right="720" w:bottom="720" w:left="720" w:header="851" w:footer="992" w:gutter="0"/>
          <w:cols w:space="720" w:num="1"/>
          <w:docGrid w:type="lines" w:linePitch="312" w:charSpace="0"/>
        </w:sectPr>
      </w:pPr>
    </w:p>
    <w:tbl>
      <w:tblPr>
        <w:tblStyle w:val="8"/>
        <w:tblW w:w="10470" w:type="dxa"/>
        <w:tblInd w:w="10" w:type="dxa"/>
        <w:tblLayout w:type="fixed"/>
        <w:tblCellMar>
          <w:top w:w="0" w:type="dxa"/>
          <w:left w:w="108" w:type="dxa"/>
          <w:bottom w:w="0" w:type="dxa"/>
          <w:right w:w="108" w:type="dxa"/>
        </w:tblCellMar>
      </w:tblPr>
      <w:tblGrid>
        <w:gridCol w:w="2044"/>
        <w:gridCol w:w="2559"/>
        <w:gridCol w:w="2301"/>
        <w:gridCol w:w="1604"/>
        <w:gridCol w:w="1962"/>
      </w:tblGrid>
      <w:tr>
        <w:tblPrEx>
          <w:tblLayout w:type="fixed"/>
          <w:tblCellMar>
            <w:top w:w="0" w:type="dxa"/>
            <w:left w:w="108" w:type="dxa"/>
            <w:bottom w:w="0" w:type="dxa"/>
            <w:right w:w="108" w:type="dxa"/>
          </w:tblCellMar>
        </w:tblPrEx>
        <w:trPr>
          <w:trHeight w:val="507" w:hRule="atLeast"/>
          <w:tblHeader/>
        </w:trPr>
        <w:tc>
          <w:tcPr>
            <w:tcW w:w="2044" w:type="dxa"/>
            <w:noWrap/>
            <w:vAlign w:val="bottom"/>
          </w:tcPr>
          <w:p>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2559" w:type="dxa"/>
            <w:noWrap/>
            <w:vAlign w:val="bottom"/>
          </w:tcPr>
          <w:p>
            <w:pPr>
              <w:widowControl/>
              <w:jc w:val="left"/>
              <w:rPr>
                <w:rFonts w:ascii="Times New Roman" w:hAnsi="Times New Roman" w:eastAsia="宋体"/>
                <w:kern w:val="0"/>
                <w:sz w:val="20"/>
                <w:szCs w:val="20"/>
              </w:rPr>
            </w:pPr>
          </w:p>
        </w:tc>
        <w:tc>
          <w:tcPr>
            <w:tcW w:w="5867" w:type="dxa"/>
            <w:gridSpan w:val="3"/>
            <w:noWrap/>
            <w:vAlign w:val="center"/>
          </w:tcPr>
          <w:p>
            <w:pPr>
              <w:widowControl/>
              <w:snapToGrid w:val="0"/>
              <w:jc w:val="righ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eastAsia="zh-CN" w:bidi="ar"/>
              </w:rPr>
              <w:t>注：若为空表，则为该部门（单位）无政府性基金支出</w:t>
            </w:r>
          </w:p>
        </w:tc>
      </w:tr>
      <w:tr>
        <w:tblPrEx>
          <w:tblLayout w:type="fixed"/>
          <w:tblCellMar>
            <w:top w:w="0" w:type="dxa"/>
            <w:left w:w="108" w:type="dxa"/>
            <w:bottom w:w="0" w:type="dxa"/>
            <w:right w:w="108" w:type="dxa"/>
          </w:tblCellMar>
        </w:tblPrEx>
        <w:trPr>
          <w:trHeight w:val="564" w:hRule="atLeast"/>
          <w:tblHeader/>
        </w:trPr>
        <w:tc>
          <w:tcPr>
            <w:tcW w:w="10470" w:type="dxa"/>
            <w:gridSpan w:val="5"/>
            <w:noWrap/>
            <w:vAlign w:val="center"/>
          </w:tcPr>
          <w:p>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政府性基金预算支出表</w:t>
            </w:r>
          </w:p>
        </w:tc>
      </w:tr>
      <w:tr>
        <w:tblPrEx>
          <w:tblLayout w:type="fixed"/>
          <w:tblCellMar>
            <w:top w:w="0" w:type="dxa"/>
            <w:left w:w="108" w:type="dxa"/>
            <w:bottom w:w="0" w:type="dxa"/>
            <w:right w:w="108" w:type="dxa"/>
          </w:tblCellMar>
        </w:tblPrEx>
        <w:trPr>
          <w:trHeight w:val="405" w:hRule="atLeast"/>
          <w:tblHeader/>
        </w:trPr>
        <w:tc>
          <w:tcPr>
            <w:tcW w:w="4603" w:type="dxa"/>
            <w:gridSpan w:val="2"/>
            <w:noWrap/>
            <w:vAlign w:val="center"/>
          </w:tcPr>
          <w:p>
            <w:pPr>
              <w:widowControl/>
              <w:jc w:val="both"/>
              <w:rPr>
                <w:rFonts w:hint="eastAsia" w:ascii="宋体" w:hAnsi="宋体" w:eastAsia="宋体" w:cs="Arial"/>
                <w:color w:val="000000"/>
                <w:kern w:val="0"/>
                <w:sz w:val="24"/>
                <w:szCs w:val="24"/>
                <w:lang w:eastAsia="zh-CN"/>
              </w:rPr>
            </w:pPr>
            <w:r>
              <w:rPr>
                <w:rFonts w:hint="eastAsia" w:asciiTheme="minorEastAsia" w:hAnsiTheme="minorEastAsia" w:cstheme="minorEastAsia"/>
                <w:color w:val="000000"/>
                <w:kern w:val="0"/>
                <w:sz w:val="18"/>
                <w:szCs w:val="18"/>
                <w:lang w:bidi="ar"/>
              </w:rPr>
              <w:t>填报单位:302安义县农业农村局(部门)</w:t>
            </w:r>
          </w:p>
        </w:tc>
        <w:tc>
          <w:tcPr>
            <w:tcW w:w="2301" w:type="dxa"/>
            <w:noWrap/>
            <w:vAlign w:val="bottom"/>
          </w:tcPr>
          <w:p>
            <w:pPr>
              <w:rPr>
                <w:rFonts w:hint="eastAsia" w:ascii="宋体" w:hAnsi="宋体" w:eastAsia="宋体" w:cs="Arial"/>
                <w:color w:val="000000"/>
                <w:kern w:val="0"/>
                <w:sz w:val="24"/>
                <w:szCs w:val="24"/>
              </w:rPr>
            </w:pPr>
          </w:p>
        </w:tc>
        <w:tc>
          <w:tcPr>
            <w:tcW w:w="1604" w:type="dxa"/>
            <w:noWrap/>
            <w:vAlign w:val="bottom"/>
          </w:tcPr>
          <w:p>
            <w:pPr>
              <w:widowControl/>
              <w:jc w:val="left"/>
              <w:rPr>
                <w:rFonts w:ascii="Times New Roman" w:hAnsi="Times New Roman" w:eastAsia="宋体"/>
                <w:kern w:val="0"/>
                <w:sz w:val="20"/>
                <w:szCs w:val="20"/>
              </w:rPr>
            </w:pPr>
          </w:p>
        </w:tc>
        <w:tc>
          <w:tcPr>
            <w:tcW w:w="1962" w:type="dxa"/>
            <w:noWrap/>
            <w:vAlign w:val="center"/>
          </w:tcPr>
          <w:p>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83" w:hRule="atLeast"/>
          <w:tblHeader/>
        </w:trPr>
        <w:tc>
          <w:tcPr>
            <w:tcW w:w="460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5867"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tblPrEx>
          <w:tblLayout w:type="fixed"/>
          <w:tblCellMar>
            <w:top w:w="0" w:type="dxa"/>
            <w:left w:w="108" w:type="dxa"/>
            <w:bottom w:w="0" w:type="dxa"/>
            <w:right w:w="108" w:type="dxa"/>
          </w:tblCellMar>
        </w:tblPrEx>
        <w:trPr>
          <w:cantSplit/>
          <w:trHeight w:val="283" w:hRule="atLeast"/>
          <w:tblHeader/>
        </w:trPr>
        <w:tc>
          <w:tcPr>
            <w:tcW w:w="204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25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2301"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6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196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tblPrEx>
          <w:tblLayout w:type="fixed"/>
          <w:tblCellMar>
            <w:top w:w="0" w:type="dxa"/>
            <w:left w:w="108" w:type="dxa"/>
            <w:bottom w:w="0" w:type="dxa"/>
            <w:right w:w="108" w:type="dxa"/>
          </w:tblCellMar>
        </w:tblPrEx>
        <w:trPr>
          <w:cantSplit/>
          <w:trHeight w:val="283" w:hRule="atLeast"/>
          <w:tblHeader/>
        </w:trPr>
        <w:tc>
          <w:tcPr>
            <w:tcW w:w="2044"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255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2301"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1604"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1962"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8"/>
        <w:tblW w:w="10520" w:type="dxa"/>
        <w:tblInd w:w="10" w:type="dxa"/>
        <w:tblLayout w:type="fixed"/>
        <w:tblCellMar>
          <w:top w:w="0" w:type="dxa"/>
          <w:left w:w="108" w:type="dxa"/>
          <w:bottom w:w="0" w:type="dxa"/>
          <w:right w:w="108" w:type="dxa"/>
        </w:tblCellMar>
      </w:tblPr>
      <w:tblGrid>
        <w:gridCol w:w="2021"/>
        <w:gridCol w:w="2596"/>
        <w:gridCol w:w="2289"/>
        <w:gridCol w:w="1603"/>
        <w:gridCol w:w="2011"/>
      </w:tblGrid>
      <w:tr>
        <w:tblPrEx>
          <w:tblLayout w:type="fixed"/>
          <w:tblCellMar>
            <w:top w:w="0" w:type="dxa"/>
            <w:left w:w="108" w:type="dxa"/>
            <w:bottom w:w="0" w:type="dxa"/>
            <w:right w:w="108" w:type="dxa"/>
          </w:tblCellMar>
        </w:tblPrEx>
        <w:trPr>
          <w:trHeight w:val="619" w:hRule="atLeast"/>
          <w:tblHeader/>
        </w:trPr>
        <w:tc>
          <w:tcPr>
            <w:tcW w:w="2021" w:type="dxa"/>
            <w:noWrap/>
            <w:vAlign w:val="bottom"/>
          </w:tcPr>
          <w:p>
            <w:pPr>
              <w:rPr>
                <w:rStyle w:val="12"/>
                <w:rFonts w:hint="eastAsia" w:ascii="仿宋" w:hAnsi="仿宋" w:eastAsia="仿宋"/>
                <w:bCs/>
                <w:sz w:val="32"/>
                <w:szCs w:val="32"/>
              </w:rPr>
            </w:pPr>
          </w:p>
        </w:tc>
        <w:tc>
          <w:tcPr>
            <w:tcW w:w="2596" w:type="dxa"/>
            <w:noWrap/>
            <w:vAlign w:val="bottom"/>
          </w:tcPr>
          <w:p>
            <w:pPr>
              <w:widowControl/>
              <w:jc w:val="left"/>
              <w:rPr>
                <w:rFonts w:ascii="Times New Roman" w:hAnsi="Times New Roman" w:eastAsia="宋体"/>
                <w:kern w:val="0"/>
                <w:sz w:val="20"/>
                <w:szCs w:val="20"/>
              </w:rPr>
            </w:pPr>
          </w:p>
        </w:tc>
        <w:tc>
          <w:tcPr>
            <w:tcW w:w="5903" w:type="dxa"/>
            <w:gridSpan w:val="3"/>
            <w:noWrap/>
            <w:vAlign w:val="center"/>
          </w:tcPr>
          <w:p>
            <w:pPr>
              <w:widowControl/>
              <w:jc w:val="right"/>
              <w:rPr>
                <w:rFonts w:ascii="宋体" w:hAnsi="宋体" w:eastAsia="宋体" w:cs="Arial"/>
                <w:color w:val="000000"/>
                <w:kern w:val="0"/>
                <w:sz w:val="24"/>
                <w:szCs w:val="24"/>
              </w:rPr>
            </w:pPr>
            <w:r>
              <w:rPr>
                <w:rFonts w:hint="eastAsia" w:ascii="宋体" w:hAnsi="宋体" w:eastAsia="宋体" w:cs="Arial"/>
                <w:color w:val="000000"/>
                <w:kern w:val="0"/>
                <w:sz w:val="18"/>
                <w:szCs w:val="18"/>
              </w:rPr>
              <w:t>注：若为空表，则为该部门（单位）无国有资本经营预算支出</w:t>
            </w:r>
          </w:p>
        </w:tc>
      </w:tr>
      <w:tr>
        <w:tblPrEx>
          <w:tblLayout w:type="fixed"/>
          <w:tblCellMar>
            <w:top w:w="0" w:type="dxa"/>
            <w:left w:w="108" w:type="dxa"/>
            <w:bottom w:w="0" w:type="dxa"/>
            <w:right w:w="108" w:type="dxa"/>
          </w:tblCellMar>
        </w:tblPrEx>
        <w:trPr>
          <w:trHeight w:val="613" w:hRule="atLeast"/>
          <w:tblHeader/>
        </w:trPr>
        <w:tc>
          <w:tcPr>
            <w:tcW w:w="10520" w:type="dxa"/>
            <w:gridSpan w:val="5"/>
            <w:noWrap/>
            <w:vAlign w:val="center"/>
          </w:tcPr>
          <w:p>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国有资本经营预算支出表</w:t>
            </w:r>
          </w:p>
        </w:tc>
      </w:tr>
      <w:tr>
        <w:tblPrEx>
          <w:tblLayout w:type="fixed"/>
          <w:tblCellMar>
            <w:top w:w="0" w:type="dxa"/>
            <w:left w:w="108" w:type="dxa"/>
            <w:bottom w:w="0" w:type="dxa"/>
            <w:right w:w="108" w:type="dxa"/>
          </w:tblCellMar>
        </w:tblPrEx>
        <w:trPr>
          <w:trHeight w:val="413" w:hRule="atLeast"/>
          <w:tblHeader/>
        </w:trPr>
        <w:tc>
          <w:tcPr>
            <w:tcW w:w="6906" w:type="dxa"/>
            <w:gridSpan w:val="3"/>
            <w:noWrap/>
            <w:vAlign w:val="center"/>
          </w:tcPr>
          <w:p>
            <w:pPr>
              <w:jc w:val="left"/>
              <w:rPr>
                <w:rFonts w:hint="eastAsia"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填报单位:302安义县农业农村局(部门)</w:t>
            </w:r>
          </w:p>
        </w:tc>
        <w:tc>
          <w:tcPr>
            <w:tcW w:w="1603" w:type="dxa"/>
            <w:noWrap/>
            <w:vAlign w:val="bottom"/>
          </w:tcPr>
          <w:p>
            <w:pPr>
              <w:widowControl/>
              <w:jc w:val="left"/>
              <w:rPr>
                <w:rFonts w:ascii="Times New Roman" w:hAnsi="Times New Roman" w:eastAsia="宋体"/>
                <w:kern w:val="0"/>
                <w:sz w:val="20"/>
                <w:szCs w:val="20"/>
              </w:rPr>
            </w:pPr>
          </w:p>
        </w:tc>
        <w:tc>
          <w:tcPr>
            <w:tcW w:w="2011" w:type="dxa"/>
            <w:noWrap/>
            <w:vAlign w:val="center"/>
          </w:tcPr>
          <w:p>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tblPrEx>
          <w:tblLayout w:type="fixed"/>
          <w:tblCellMar>
            <w:top w:w="0" w:type="dxa"/>
            <w:left w:w="108" w:type="dxa"/>
            <w:bottom w:w="0" w:type="dxa"/>
            <w:right w:w="108" w:type="dxa"/>
          </w:tblCellMar>
        </w:tblPrEx>
        <w:trPr>
          <w:cantSplit/>
          <w:trHeight w:val="291" w:hRule="atLeast"/>
          <w:tblHeader/>
        </w:trPr>
        <w:tc>
          <w:tcPr>
            <w:tcW w:w="461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5903" w:type="dxa"/>
            <w:gridSpan w:val="3"/>
            <w:tcBorders>
              <w:top w:val="single" w:color="000000" w:sz="4" w:space="0"/>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tblPrEx>
          <w:tblLayout w:type="fixed"/>
          <w:tblCellMar>
            <w:top w:w="0" w:type="dxa"/>
            <w:left w:w="108" w:type="dxa"/>
            <w:bottom w:w="0" w:type="dxa"/>
            <w:right w:w="108" w:type="dxa"/>
          </w:tblCellMar>
        </w:tblPrEx>
        <w:trPr>
          <w:cantSplit/>
          <w:trHeight w:val="291" w:hRule="atLeast"/>
          <w:tblHeader/>
        </w:trPr>
        <w:tc>
          <w:tcPr>
            <w:tcW w:w="2021" w:type="dxa"/>
            <w:tcBorders>
              <w:top w:val="nil"/>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2596"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2289"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603"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2011" w:type="dxa"/>
            <w:tcBorders>
              <w:top w:val="nil"/>
              <w:left w:val="nil"/>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tblPrEx>
          <w:tblLayout w:type="fixed"/>
          <w:tblCellMar>
            <w:top w:w="0" w:type="dxa"/>
            <w:left w:w="108" w:type="dxa"/>
            <w:bottom w:w="0" w:type="dxa"/>
            <w:right w:w="108" w:type="dxa"/>
          </w:tblCellMar>
        </w:tblPrEx>
        <w:trPr>
          <w:cantSplit/>
          <w:trHeight w:val="291" w:hRule="atLeast"/>
          <w:tblHeader/>
        </w:trPr>
        <w:tc>
          <w:tcPr>
            <w:tcW w:w="2021"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259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2289"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1603"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2011"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8"/>
        <w:tblW w:w="10825" w:type="dxa"/>
        <w:tblInd w:w="-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12"/>
        <w:gridCol w:w="1313"/>
        <w:gridCol w:w="2825"/>
        <w:gridCol w:w="1500"/>
        <w:gridCol w:w="912"/>
        <w:gridCol w:w="338"/>
        <w:gridCol w:w="1412"/>
        <w:gridCol w:w="10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75" w:hRule="exact"/>
        </w:trPr>
        <w:tc>
          <w:tcPr>
            <w:tcW w:w="10825" w:type="dxa"/>
            <w:gridSpan w:val="8"/>
            <w:tcBorders>
              <w:top w:val="nil"/>
              <w:left w:val="nil"/>
              <w:bottom w:val="single" w:color="000000" w:sz="4" w:space="0"/>
              <w:right w:val="nil"/>
            </w:tcBorders>
            <w:shd w:val="clear" w:color="auto" w:fill="FFFFFF"/>
            <w:noWrap/>
            <w:vAlign w:val="center"/>
          </w:tcPr>
          <w:p>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i w:val="0"/>
                <w:iCs w:val="0"/>
                <w:color w:val="000000"/>
                <w:kern w:val="0"/>
                <w:sz w:val="24"/>
                <w:szCs w:val="24"/>
                <w:u w:val="none"/>
                <w:lang w:val="en-US" w:eastAsia="zh-CN" w:bidi="ar"/>
              </w:rPr>
            </w:pPr>
            <w:r>
              <w:rPr>
                <w:rFonts w:hint="eastAsia" w:asciiTheme="minorEastAsia" w:hAnsiTheme="minorEastAsia" w:eastAsiaTheme="minorEastAsia" w:cstheme="minorEastAsia"/>
                <w:b/>
                <w:bCs w:val="0"/>
                <w:i w:val="0"/>
                <w:iCs w:val="0"/>
                <w:color w:val="000000"/>
                <w:kern w:val="0"/>
                <w:sz w:val="24"/>
                <w:szCs w:val="24"/>
                <w:u w:val="none"/>
                <w:lang w:val="en-US" w:eastAsia="zh-CN" w:bidi="ar"/>
              </w:rPr>
              <w:t>部门整体绩效目标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28" w:hRule="exac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cstheme="minorEastAsia"/>
                <w:b/>
                <w:bCs w:val="0"/>
                <w:i w:val="0"/>
                <w:iCs w:val="0"/>
                <w:color w:val="000000"/>
                <w:kern w:val="0"/>
                <w:sz w:val="18"/>
                <w:szCs w:val="18"/>
                <w:u w:val="none"/>
                <w:lang w:val="en-US" w:eastAsia="zh-CN" w:bidi="ar"/>
              </w:rPr>
              <w:t>部门编码</w:t>
            </w:r>
          </w:p>
        </w:tc>
        <w:tc>
          <w:tcPr>
            <w:tcW w:w="2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i w:val="0"/>
                <w:iCs w:val="0"/>
                <w:color w:val="000000"/>
                <w:kern w:val="0"/>
                <w:sz w:val="18"/>
                <w:szCs w:val="18"/>
                <w:u w:val="none"/>
                <w:lang w:val="en-US" w:eastAsia="zh-CN" w:bidi="ar"/>
              </w:rPr>
              <w:t>302</w:t>
            </w:r>
          </w:p>
        </w:tc>
        <w:tc>
          <w:tcPr>
            <w:tcW w:w="2412"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cstheme="minorEastAsia"/>
                <w:b/>
                <w:bCs w:val="0"/>
                <w:i w:val="0"/>
                <w:iCs w:val="0"/>
                <w:color w:val="000000"/>
                <w:kern w:val="0"/>
                <w:sz w:val="18"/>
                <w:szCs w:val="18"/>
                <w:u w:val="none"/>
                <w:lang w:val="en-US" w:eastAsia="zh-CN" w:bidi="ar"/>
              </w:rPr>
              <w:t>部门名称</w:t>
            </w:r>
          </w:p>
        </w:tc>
        <w:tc>
          <w:tcPr>
            <w:tcW w:w="276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i w:val="0"/>
                <w:iCs w:val="0"/>
                <w:color w:val="000000"/>
                <w:kern w:val="0"/>
                <w:sz w:val="18"/>
                <w:szCs w:val="18"/>
                <w:u w:val="none"/>
                <w:lang w:val="en-US" w:eastAsia="zh-CN" w:bidi="ar"/>
              </w:rPr>
              <w:t>安义县农业农村局(部门)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20" w:hRule="exac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Style w:val="15"/>
                <w:rFonts w:hint="eastAsia" w:asciiTheme="minorEastAsia" w:hAnsiTheme="minorEastAsia" w:eastAsiaTheme="minorEastAsia" w:cstheme="minorEastAsia"/>
                <w:b/>
                <w:bCs/>
                <w:color w:val="000000"/>
                <w:sz w:val="18"/>
                <w:szCs w:val="18"/>
                <w:lang w:val="en-US" w:eastAsia="zh-CN" w:bidi="ar"/>
              </w:rPr>
              <w:t>年度绩效总目标</w:t>
            </w:r>
          </w:p>
        </w:tc>
        <w:tc>
          <w:tcPr>
            <w:tcW w:w="9313" w:type="dxa"/>
            <w:gridSpan w:val="7"/>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全年完成农产品质量监测2600批次，推动区块链检测合格合二为一开具1900批次，组织开展农产品质量安全突发事件应急演练；2建立健全畜禽水产品质量安全监管体系，杜绝生产、销售和使用“瘦肉精”等违禁物品的违法行为，保证全县畜禽水产品质量安全；全县养殖场申报的动物检疫率达到100%，屠宰厂待宰生猪检疫全部合格；在全县范围内组织加大屠宰行业监管力度，打击私屠滥宰违法行为，加强病死猪无害处理监管，完善肉品质保障体系建设，使群众吃上放心肉；3、老百姓出行更方便，更舒适，基本无裸露垃圾，无污水横流，无乱抛废弃物，农村形象整洁美观，农村面貌焕然一新，村民清洁文明意识普遍增强，村庄环境长效管护机制建建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40"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jc w:val="center"/>
              <w:rPr>
                <w:rFonts w:hint="eastAsia" w:asciiTheme="minorEastAsia" w:hAnsiTheme="minorEastAsia" w:eastAsiaTheme="minorEastAsia" w:cstheme="minorEastAsia"/>
                <w:b w:val="0"/>
                <w:i w:val="0"/>
                <w:iCs w:val="0"/>
                <w:color w:val="000000"/>
                <w:sz w:val="18"/>
                <w:szCs w:val="18"/>
                <w:u w:val="none"/>
              </w:rPr>
            </w:pPr>
          </w:p>
        </w:tc>
        <w:tc>
          <w:tcPr>
            <w:tcW w:w="9313"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Theme="minorEastAsia" w:hAnsiTheme="minorEastAsia" w:eastAsiaTheme="minorEastAsia" w:cstheme="minorEastAsia"/>
                <w:b w:val="0"/>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jc w:val="center"/>
              <w:rPr>
                <w:rFonts w:hint="eastAsia" w:asciiTheme="minorEastAsia" w:hAnsiTheme="minorEastAsia" w:eastAsiaTheme="minorEastAsia" w:cstheme="minorEastAsia"/>
                <w:b w:val="0"/>
                <w:i w:val="0"/>
                <w:iCs w:val="0"/>
                <w:color w:val="000000"/>
                <w:sz w:val="18"/>
                <w:szCs w:val="18"/>
                <w:u w:val="none"/>
              </w:rPr>
            </w:pPr>
          </w:p>
        </w:tc>
        <w:tc>
          <w:tcPr>
            <w:tcW w:w="9313"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Theme="minorEastAsia" w:hAnsiTheme="minorEastAsia" w:eastAsiaTheme="minorEastAsia" w:cstheme="minorEastAsia"/>
                <w:b w:val="0"/>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52" w:hRule="atLeast"/>
        </w:trPr>
        <w:tc>
          <w:tcPr>
            <w:tcW w:w="151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一级指标</w:t>
            </w:r>
          </w:p>
        </w:tc>
        <w:tc>
          <w:tcPr>
            <w:tcW w:w="131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二级指标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三级指标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计算符号</w:t>
            </w:r>
          </w:p>
        </w:tc>
        <w:tc>
          <w:tcPr>
            <w:tcW w:w="141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目标值</w:t>
            </w:r>
          </w:p>
        </w:tc>
        <w:tc>
          <w:tcPr>
            <w:tcW w:w="101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度量单位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36" w:hRule="atLeas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畜禽水产品产地监测合格率、例行监测合格率畜禽水产</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&gt;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97</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开展农产品安全突发事件应急演练</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&gt;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设施数量</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&gt;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111</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“区块链 检测合格证”合二为一开具</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1900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批次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日常监管巡查，执法检查（屠宰监管）</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&gt;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养殖场申报的动物检疫合格率，屠宰厂待宰生猪检疫合格率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设施能否正常运行</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定性</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能够正常运行</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村庄环境长效管护效果</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85</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区块链 检测合格证开具率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时效指标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验收考核时间</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定性</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2026年12月31日</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在职人员控制率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公用经费控制率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三公经费控制率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预算支出标准执行率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cantSplit/>
          <w:trHeight w:val="436" w:hRule="atLeas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效益指标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经济效益指标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促农增收</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定性</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明显提升</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效益指标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社会效益指标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受益农户覆盖面</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85</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效益指标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生态效益指标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生活污水处理系统覆盖率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cantSplit/>
          <w:trHeight w:val="436" w:hRule="atLeas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满意度指标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服务对象满意度指标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受益农户满意度</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95</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满意度指标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服务对象满意度指标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畜牧水产品生产企业满意度</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95</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bl>
    <w:p>
      <w:pPr>
        <w:rPr>
          <w:rFonts w:hint="eastAsia"/>
          <w:lang w:eastAsia="zh-CN"/>
        </w:rPr>
        <w:sectPr>
          <w:pgSz w:w="11906" w:h="16838"/>
          <w:pgMar w:top="720" w:right="720" w:bottom="720" w:left="720" w:header="851" w:footer="992" w:gutter="0"/>
          <w:cols w:space="425" w:num="1"/>
          <w:docGrid w:type="lines" w:linePitch="312" w:charSpace="0"/>
        </w:sectPr>
      </w:pPr>
    </w:p>
    <w:tbl>
      <w:tblPr>
        <w:tblStyle w:val="8"/>
        <w:tblW w:w="10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46"/>
        <w:gridCol w:w="1721"/>
        <w:gridCol w:w="3390"/>
        <w:gridCol w:w="1792"/>
        <w:gridCol w:w="25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40" w:hRule="atLeast"/>
        </w:trPr>
        <w:tc>
          <w:tcPr>
            <w:tcW w:w="10740" w:type="dxa"/>
            <w:gridSpan w:val="5"/>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42"/>
                <w:szCs w:val="42"/>
                <w:u w:val="none"/>
              </w:rPr>
            </w:pPr>
            <w:r>
              <w:rPr>
                <w:rFonts w:hint="default" w:asciiTheme="minorEastAsia" w:hAnsiTheme="minorEastAsia" w:eastAsiaTheme="minorEastAsia" w:cstheme="minorEastAsia"/>
                <w:b/>
                <w:bCs/>
                <w:color w:val="000000"/>
                <w:kern w:val="0"/>
                <w:sz w:val="24"/>
                <w:szCs w:val="24"/>
                <w:lang w:val="en-US" w:eastAsia="zh-CN" w:bidi="ar"/>
              </w:rPr>
              <w:t>项目支出绩效目标表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0" w:hRule="atLeast"/>
        </w:trPr>
        <w:tc>
          <w:tcPr>
            <w:tcW w:w="10740" w:type="dxa"/>
            <w:gridSpan w:val="5"/>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Theme="minorEastAsia" w:hAnsiTheme="minorEastAsia" w:cstheme="minorEastAsia"/>
                <w:color w:val="000000"/>
                <w:kern w:val="0"/>
                <w:sz w:val="18"/>
                <w:szCs w:val="18"/>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项目名称</w:t>
            </w:r>
          </w:p>
        </w:tc>
        <w:tc>
          <w:tcPr>
            <w:tcW w:w="77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市级农业机械化和农机装备产业升级项目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主管部门及代码</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302-安义县农业农村局(部门)</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实施单位</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安义县农业农村局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trPr>
        <w:tc>
          <w:tcPr>
            <w:tcW w:w="29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项目资金</w:t>
            </w:r>
            <w:r>
              <w:rPr>
                <w:rFonts w:hint="eastAsia" w:asciiTheme="minorEastAsia" w:hAnsiTheme="minorEastAsia" w:cstheme="minorEastAsia"/>
                <w:color w:val="000000"/>
                <w:kern w:val="0"/>
                <w:sz w:val="18"/>
                <w:szCs w:val="18"/>
                <w:lang w:val="en-US" w:eastAsia="zh-CN" w:bidi="ar"/>
              </w:rPr>
              <w:br w:type="textWrapping"/>
            </w:r>
            <w:r>
              <w:rPr>
                <w:rFonts w:hint="eastAsia" w:asciiTheme="minorEastAsia" w:hAnsiTheme="minorEastAsia" w:cstheme="minorEastAsia"/>
                <w:color w:val="000000"/>
                <w:kern w:val="0"/>
                <w:sz w:val="18"/>
                <w:szCs w:val="18"/>
                <w:lang w:val="en-US" w:eastAsia="zh-CN" w:bidi="ar"/>
              </w:rPr>
              <w:t>（万元）</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年度资金总额</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63.59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其中：财政拨款</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其他资金</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上年结转</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42" w:hRule="atLeast"/>
        </w:trPr>
        <w:tc>
          <w:tcPr>
            <w:tcW w:w="10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bCs/>
                <w:color w:val="000000"/>
                <w:kern w:val="0"/>
                <w:sz w:val="21"/>
                <w:szCs w:val="21"/>
                <w:lang w:val="en-US" w:eastAsia="zh-CN" w:bidi="ar"/>
              </w:rPr>
              <w:t>年度绩效目标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64" w:hRule="atLeast"/>
        </w:trPr>
        <w:tc>
          <w:tcPr>
            <w:tcW w:w="10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加快补齐我县水稻生产机械化短板，积极引导购置使用先进适用的农机具，开展水稻机械化育秧中心及集中育秧设施补贴，提高我县农机化水平。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一级指标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二级指标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三级指标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成本指标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经济成本指标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成本控制率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产出指标</w:t>
            </w:r>
          </w:p>
        </w:tc>
        <w:tc>
          <w:tcPr>
            <w:tcW w:w="17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数量指标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重点农机具补贴数量</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≥10台（套）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7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机械化育秧中心（集中育秧设施）数量</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质量指标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新技术展示演示活动参与率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时效指标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年度内补贴资金拨付到位率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效益指标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经济效益指标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农业生产效率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有所提高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社会效益指标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农机购置与应用补贴政策公开率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满意度指标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服务对象满意度</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购机农户满意度</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val="en-US" w:eastAsia="zh-CN" w:bidi="ar"/>
              </w:rPr>
              <w:t>≥95%</w:t>
            </w:r>
          </w:p>
        </w:tc>
      </w:tr>
    </w:tbl>
    <w:p>
      <w:pPr>
        <w:rPr>
          <w:rFonts w:hint="eastAsia"/>
          <w:lang w:eastAsia="zh-CN"/>
        </w:rPr>
        <w:sectPr>
          <w:pgSz w:w="11906" w:h="16838"/>
          <w:pgMar w:top="720" w:right="720" w:bottom="720" w:left="720" w:header="851" w:footer="992" w:gutter="0"/>
          <w:cols w:space="425" w:num="1"/>
          <w:docGrid w:type="lines" w:linePitch="312" w:charSpace="0"/>
        </w:sectPr>
      </w:pPr>
    </w:p>
    <w:tbl>
      <w:tblPr>
        <w:tblStyle w:val="8"/>
        <w:tblW w:w="10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46"/>
        <w:gridCol w:w="1721"/>
        <w:gridCol w:w="3390"/>
        <w:gridCol w:w="1792"/>
        <w:gridCol w:w="2591"/>
      </w:tblGrid>
      <w:tr>
        <w:tblPrEx>
          <w:shd w:val="clear" w:color="auto" w:fill="auto"/>
          <w:tblLayout w:type="fixed"/>
          <w:tblCellMar>
            <w:top w:w="15" w:type="dxa"/>
            <w:left w:w="15" w:type="dxa"/>
            <w:bottom w:w="15" w:type="dxa"/>
            <w:right w:w="15" w:type="dxa"/>
          </w:tblCellMar>
        </w:tblPrEx>
        <w:trPr>
          <w:trHeight w:val="540" w:hRule="atLeast"/>
        </w:trPr>
        <w:tc>
          <w:tcPr>
            <w:tcW w:w="10740" w:type="dxa"/>
            <w:gridSpan w:val="5"/>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42"/>
                <w:szCs w:val="42"/>
                <w:u w:val="none"/>
              </w:rPr>
            </w:pPr>
            <w:r>
              <w:rPr>
                <w:rFonts w:hint="default" w:asciiTheme="minorEastAsia" w:hAnsiTheme="minorEastAsia" w:eastAsiaTheme="minorEastAsia" w:cstheme="minorEastAsia"/>
                <w:b/>
                <w:bCs/>
                <w:color w:val="000000"/>
                <w:kern w:val="0"/>
                <w:sz w:val="24"/>
                <w:szCs w:val="24"/>
                <w:lang w:val="en-US" w:eastAsia="zh-CN" w:bidi="ar"/>
              </w:rPr>
              <w:t>项目支出绩效目标表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30" w:hRule="atLeast"/>
        </w:trPr>
        <w:tc>
          <w:tcPr>
            <w:tcW w:w="10740" w:type="dxa"/>
            <w:gridSpan w:val="5"/>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Theme="minorEastAsia" w:hAnsiTheme="minorEastAsia" w:cstheme="minorEastAsia"/>
                <w:color w:val="000000"/>
                <w:kern w:val="0"/>
                <w:sz w:val="18"/>
                <w:szCs w:val="18"/>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项目名称</w:t>
            </w:r>
          </w:p>
        </w:tc>
        <w:tc>
          <w:tcPr>
            <w:tcW w:w="77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2023年乔乐乡市级农业产业强镇项目补助资金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主管部门及代码</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302-安义县农业农村局(部门)</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实施单位</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安义县农业农村局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项目资金</w:t>
            </w:r>
            <w:r>
              <w:rPr>
                <w:rFonts w:hint="eastAsia" w:asciiTheme="minorEastAsia" w:hAnsiTheme="minorEastAsia" w:cstheme="minorEastAsia"/>
                <w:color w:val="000000"/>
                <w:kern w:val="0"/>
                <w:sz w:val="18"/>
                <w:szCs w:val="18"/>
                <w:lang w:val="en-US" w:eastAsia="zh-CN" w:bidi="ar"/>
              </w:rPr>
              <w:br w:type="textWrapping"/>
            </w:r>
            <w:r>
              <w:rPr>
                <w:rFonts w:hint="eastAsia" w:asciiTheme="minorEastAsia" w:hAnsiTheme="minorEastAsia" w:cstheme="minorEastAsia"/>
                <w:color w:val="000000"/>
                <w:kern w:val="0"/>
                <w:sz w:val="18"/>
                <w:szCs w:val="18"/>
                <w:lang w:val="en-US" w:eastAsia="zh-CN" w:bidi="ar"/>
              </w:rPr>
              <w:t>（万元）</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年度资金总额</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其中：财政拨款</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其他资金</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trPr>
        <w:tc>
          <w:tcPr>
            <w:tcW w:w="29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上年结转</w:t>
            </w:r>
          </w:p>
        </w:tc>
        <w:tc>
          <w:tcPr>
            <w:tcW w:w="4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76" w:hRule="atLeast"/>
        </w:trPr>
        <w:tc>
          <w:tcPr>
            <w:tcW w:w="10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bCs/>
                <w:color w:val="000000"/>
                <w:kern w:val="0"/>
                <w:sz w:val="21"/>
                <w:szCs w:val="21"/>
                <w:lang w:val="en-US" w:eastAsia="zh-CN" w:bidi="ar"/>
              </w:rPr>
              <w:t>年度绩效目标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70" w:hRule="atLeast"/>
        </w:trPr>
        <w:tc>
          <w:tcPr>
            <w:tcW w:w="10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根据2023年乔乐乡市级农业产业强镇项目补助资金 洪财农指【2023】79号文件精神，培育壮大乡镇农业规模，进一步提升农业产业化发展水平。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一级指标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二级指标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三级指标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成本指标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经济成本指标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成本控制率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产出指标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数量指标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支持乡镇企业完成市级产业强镇项</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＝1项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质量指标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奖补对象资格符合率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时效指标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项目资金下拨率</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按时完成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效益指标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经济效益指标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支持乡镇销售收入水平</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有所提升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社会效益指标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支持乡镇带动农户收入水平</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明显提升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生态效益指标</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对当地生态环境影响</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有利于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0" w:hRule="atLeast"/>
        </w:trPr>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满意度指标</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服务对象满意度</w:t>
            </w:r>
          </w:p>
        </w:tc>
        <w:tc>
          <w:tcPr>
            <w:tcW w:w="5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项目对象满意度</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≥95%</w:t>
            </w:r>
          </w:p>
        </w:tc>
      </w:tr>
    </w:tbl>
    <w:p>
      <w:pPr>
        <w:rPr>
          <w:rFonts w:hint="eastAsia"/>
          <w:lang w:eastAsia="zh-CN"/>
        </w:rPr>
        <w:sectPr>
          <w:pgSz w:w="11906" w:h="16838"/>
          <w:pgMar w:top="720" w:right="720" w:bottom="720" w:left="720" w:header="851" w:footer="992" w:gutter="0"/>
          <w:cols w:space="425" w:num="1"/>
          <w:docGrid w:type="lines" w:linePitch="312" w:charSpace="0"/>
        </w:sectPr>
      </w:pPr>
    </w:p>
    <w:p>
      <w:pPr>
        <w:pStyle w:val="17"/>
        <w:numPr>
          <w:ilvl w:val="0"/>
          <w:numId w:val="0"/>
        </w:numPr>
        <w:bidi w:val="0"/>
        <w:ind w:left="420" w:leftChars="200"/>
        <w:jc w:val="center"/>
        <w:rPr>
          <w:rFonts w:ascii="仿宋_GB2312" w:eastAsia="仿宋_GB2312"/>
          <w:b/>
          <w:sz w:val="32"/>
          <w:szCs w:val="30"/>
        </w:rPr>
      </w:pPr>
      <w:r>
        <w:rPr>
          <w:rFonts w:hint="eastAsia"/>
          <w:lang w:val="en-US" w:eastAsia="zh-CN"/>
        </w:rPr>
        <w:t>第三部分  安义县农业农村局(部门)2026年部门预算情况说明</w:t>
      </w:r>
    </w:p>
    <w:p>
      <w:pPr>
        <w:pStyle w:val="17"/>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年部门预算收支情况说明</w:t>
      </w:r>
    </w:p>
    <w:p>
      <w:pPr>
        <w:pStyle w:val="19"/>
        <w:numPr>
          <w:ilvl w:val="0"/>
          <w:numId w:val="0"/>
        </w:numPr>
        <w:bidi w:val="0"/>
        <w:ind w:left="420" w:leftChars="200"/>
        <w:rPr>
          <w:rFonts w:hint="eastAsia"/>
        </w:rPr>
      </w:pPr>
      <w:r>
        <w:rPr>
          <w:rFonts w:hint="eastAsia"/>
        </w:rPr>
        <w:t xml:space="preserve"> (一)收入预算情况</w:t>
      </w:r>
    </w:p>
    <w:p>
      <w:pPr>
        <w:pStyle w:val="18"/>
        <w:bidi w:val="0"/>
        <w:rPr>
          <w:rFonts w:hint="eastAsia"/>
          <w:lang w:eastAsia="zh-CN"/>
        </w:rPr>
      </w:pPr>
      <w:r>
        <w:rPr>
          <w:rFonts w:hint="eastAsia"/>
          <w:lang w:eastAsia="zh-CN"/>
        </w:rPr>
        <w:t>2026年安义县农业农村局(部门)收入预算总额为10160.52万元，较上年预算安排减少6941.98万元，下降40.59%，主要原因是2026年预算结转了2025年的结转结余资金较上年减少。本年收入合计3251.03万元，较上年预算安排减少12048.04万元，主要原因是2026年预算结转了2025年的结转结余资金较上年减少；其中：财政拨款收入2894.13万元，较上年预算安排减少11612.89万元，主要原因是2026年预算结转了2025年的结转结余资金较上年减少；其他收入365.9万元，较上年预算安排减少435.15万元，主要原因是根据单位资金需求减少；上年结转6909.50万元，较上年预算安排增加5106.07万元，主要原因是2025年末结转资金较上年年末结转资金增加。</w:t>
      </w:r>
    </w:p>
    <w:p>
      <w:pPr>
        <w:pStyle w:val="19"/>
        <w:numPr>
          <w:ilvl w:val="0"/>
          <w:numId w:val="0"/>
        </w:numPr>
        <w:bidi w:val="0"/>
        <w:ind w:left="420" w:leftChars="200"/>
        <w:rPr>
          <w:rFonts w:hint="eastAsia"/>
        </w:rPr>
      </w:pPr>
      <w:r>
        <w:rPr>
          <w:rFonts w:hint="eastAsia"/>
        </w:rPr>
        <w:t xml:space="preserve"> </w:t>
      </w:r>
      <w:r>
        <w:rPr>
          <w:rFonts w:hint="eastAsia"/>
          <w:lang w:val="en-US" w:eastAsia="zh-CN"/>
        </w:rPr>
        <w:t>(二)支出预算情况</w:t>
      </w:r>
    </w:p>
    <w:p>
      <w:pPr>
        <w:pStyle w:val="18"/>
        <w:bidi w:val="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202</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年安义县</w:t>
      </w:r>
      <w:r>
        <w:rPr>
          <w:rFonts w:hint="eastAsia" w:ascii="仿宋_GB2312" w:eastAsia="仿宋_GB2312"/>
          <w:color w:val="auto"/>
          <w:sz w:val="32"/>
          <w:szCs w:val="32"/>
          <w:highlight w:val="none"/>
          <w:lang w:val="en-US" w:eastAsia="zh-CN"/>
        </w:rPr>
        <w:t>农业农村局</w:t>
      </w:r>
      <w:r>
        <w:rPr>
          <w:rFonts w:hint="eastAsia"/>
          <w:color w:val="auto"/>
          <w:sz w:val="32"/>
          <w:szCs w:val="32"/>
          <w:highlight w:val="none"/>
          <w:lang w:val="en-US" w:eastAsia="zh-CN"/>
        </w:rPr>
        <w:t>（部门）</w:t>
      </w:r>
      <w:r>
        <w:rPr>
          <w:rFonts w:hint="eastAsia" w:ascii="仿宋_GB2312" w:eastAsia="仿宋_GB2312"/>
          <w:color w:val="auto"/>
          <w:sz w:val="32"/>
          <w:szCs w:val="32"/>
          <w:highlight w:val="none"/>
        </w:rPr>
        <w:t>支出预算总额为</w:t>
      </w:r>
      <w:r>
        <w:rPr>
          <w:rFonts w:hint="eastAsia" w:ascii="仿宋_GB2312" w:eastAsia="仿宋_GB2312"/>
          <w:color w:val="auto"/>
          <w:sz w:val="32"/>
          <w:szCs w:val="32"/>
          <w:highlight w:val="none"/>
          <w:lang w:val="en-US" w:eastAsia="zh-CN"/>
        </w:rPr>
        <w:t>10160.52万元</w:t>
      </w:r>
      <w:r>
        <w:rPr>
          <w:rFonts w:hint="eastAsia" w:ascii="仿宋_GB2312" w:eastAsia="仿宋_GB2312"/>
          <w:color w:val="auto"/>
          <w:sz w:val="32"/>
          <w:szCs w:val="32"/>
          <w:highlight w:val="none"/>
        </w:rPr>
        <w:t>，较上年</w:t>
      </w:r>
      <w:r>
        <w:rPr>
          <w:rFonts w:hint="eastAsia" w:ascii="仿宋_GB2312" w:eastAsia="仿宋_GB2312"/>
          <w:color w:val="auto"/>
          <w:sz w:val="32"/>
          <w:szCs w:val="32"/>
          <w:highlight w:val="none"/>
          <w:lang w:eastAsia="zh-CN"/>
        </w:rPr>
        <w:t>减少</w:t>
      </w:r>
      <w:r>
        <w:rPr>
          <w:rFonts w:hint="eastAsia" w:ascii="仿宋_GB2312" w:eastAsia="仿宋_GB2312"/>
          <w:color w:val="auto"/>
          <w:sz w:val="32"/>
          <w:szCs w:val="32"/>
          <w:highlight w:val="none"/>
          <w:lang w:val="en-US" w:eastAsia="zh-CN"/>
        </w:rPr>
        <w:t>6941.98万元</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下降</w:t>
      </w:r>
      <w:r>
        <w:rPr>
          <w:rFonts w:hint="eastAsia" w:ascii="仿宋_GB2312" w:eastAsia="仿宋_GB2312"/>
          <w:color w:val="auto"/>
          <w:sz w:val="32"/>
          <w:szCs w:val="32"/>
          <w:highlight w:val="none"/>
          <w:lang w:val="en-US" w:eastAsia="zh-CN"/>
        </w:rPr>
        <w:t>40.59%</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2026年预算结转了2025年的结转结余资金</w:t>
      </w:r>
      <w:r>
        <w:rPr>
          <w:rFonts w:hint="eastAsia" w:ascii="仿宋_GB2312" w:eastAsia="仿宋_GB2312"/>
          <w:color w:val="auto"/>
          <w:sz w:val="32"/>
          <w:szCs w:val="32"/>
          <w:highlight w:val="none"/>
        </w:rPr>
        <w:t>。</w:t>
      </w:r>
    </w:p>
    <w:p>
      <w:pPr>
        <w:pStyle w:val="18"/>
        <w:bidi w:val="0"/>
        <w:rPr>
          <w:rFonts w:hint="eastAsia"/>
        </w:rPr>
      </w:pPr>
      <w:r>
        <w:rPr>
          <w:rFonts w:hint="eastAsia"/>
        </w:rPr>
        <w:t>按支出项目类别划分：基本支出2551.03万元，较上年预算安排减少129.63万元，主要原因是2026年预算结转了2025年的结转结余资金较上年减少；其中：工资福利支出1606.62万元、商品和服务支出1165.87万元、对个人和家庭的补助497.83万元、资本性支出6798.04万元；项目支出7609.50万元，较上年预算安排减少6812.35万元。</w:t>
      </w:r>
    </w:p>
    <w:p>
      <w:pPr>
        <w:pStyle w:val="18"/>
        <w:bidi w:val="0"/>
        <w:rPr>
          <w:rFonts w:hint="eastAsia"/>
        </w:rPr>
      </w:pPr>
      <w:r>
        <w:rPr>
          <w:rFonts w:hint="eastAsia"/>
        </w:rPr>
        <w:t>按支出功能科目划分：社会保障和就业支出581.36万元，较上年预算安排增加429.64万元，主要原因是增加了退休人员；卫生健康支出140.33万元，较上年预算安排减少7.76万元，主要原因是退休人员增多；城乡社区支出784万元，较上年预算安排减少1301.81万元，主要原因是2026年预算结转了2025年的结转结余资金较上年减少；农林水支出3429.62万元，较上年预算安排减少10708.52万元，主要原因是2026年预算结转了2025年的结转结余资金较上年减少；住房保障支出225.2万元，较上年预算安排增加46.88万元；其他支出5000万，较上年预算安排增加5000万；主要原因是为结转结余上年度拨款资金。</w:t>
      </w:r>
    </w:p>
    <w:p>
      <w:pPr>
        <w:pStyle w:val="18"/>
        <w:bidi w:val="0"/>
        <w:rPr>
          <w:rFonts w:hint="eastAsia"/>
        </w:rPr>
      </w:pPr>
      <w:r>
        <w:rPr>
          <w:rFonts w:hint="eastAsia"/>
        </w:rPr>
        <w:t>按支出经济分类划分：工资福利支出1602.62万元，较上年预算安排减少4.05万元，主要原因是退休人员增加；商品和服务支出（公用经费）1165.87万元，较上年预算安排减少1765.63万元，主要原因是2026年预算结转了2025年的结转结余资金较上年减少；对个人和家庭的补助497.83万元，较上年预算安排减少229.04万元，主要原因是退休人员增加；资本性支出6798.04万元，较上年预算安排减少4739.42万元，主要原因是2026年预算结转了2025年的结转结余资金较上年减少；对企业补助96.17万元，较上年预算安排减少203.83万元，主要原因是2026年预算结转了2025年的结转结余资金较上年减少。</w:t>
      </w:r>
    </w:p>
    <w:p>
      <w:pPr>
        <w:pStyle w:val="19"/>
        <w:numPr>
          <w:ilvl w:val="0"/>
          <w:numId w:val="0"/>
        </w:numPr>
        <w:bidi w:val="0"/>
        <w:ind w:left="420" w:leftChars="200"/>
        <w:rPr>
          <w:rFonts w:hint="eastAsia"/>
          <w:lang w:val="en-US" w:eastAsia="zh-CN"/>
        </w:rPr>
      </w:pPr>
      <w:r>
        <w:rPr>
          <w:rFonts w:hint="eastAsia"/>
          <w:lang w:val="en-US" w:eastAsia="zh-CN"/>
        </w:rPr>
        <w:t xml:space="preserve"> (三)财政拨款支出情况</w:t>
      </w:r>
    </w:p>
    <w:p>
      <w:pPr>
        <w:pStyle w:val="18"/>
        <w:bidi w:val="0"/>
        <w:rPr>
          <w:rFonts w:hint="eastAsia"/>
          <w:lang w:eastAsia="zh-CN"/>
        </w:rPr>
      </w:pPr>
      <w:r>
        <w:rPr>
          <w:rFonts w:hint="eastAsia"/>
          <w:lang w:eastAsia="zh-CN"/>
        </w:rPr>
        <w:t>2026年安义县农业农村局财政拨款支出预算总额9803.62万元,较上年预算安排减少6506.83万元，下降39.9%，主要原因是2026年预算结转了2025年的结转结余资金较上年减少。</w:t>
      </w:r>
    </w:p>
    <w:p>
      <w:pPr>
        <w:pStyle w:val="18"/>
        <w:bidi w:val="0"/>
        <w:rPr>
          <w:rFonts w:hint="eastAsia"/>
        </w:rPr>
      </w:pPr>
      <w:r>
        <w:rPr>
          <w:rFonts w:hint="eastAsia"/>
        </w:rPr>
        <w:t>按支出功能科目划分：社会保障和就业支出571.36万元，较上年预算安排增加423.53万元，主要原因是退休人员增多；卫生健康支出140.33万元，较上年预算安排减少5.76万元，主要原因是；城乡社区支出784万元，较上年预算安排增加471万元，主要原因是2025年预算结转了2025年的结转结余资金较上年减少；农林水支出3172.72万元，较上年预算安排减少9941.75万元，主要原因是2026年预算结转了2025年的结转结余资金较上年减少；住房保障支出135.2万元，较上年预算安排增加96.87万元；其他支出5000万，较上年预算安排增加5000万元，主要原因是2026年预算结转了2025年的结转结余资金。</w:t>
      </w:r>
    </w:p>
    <w:p>
      <w:pPr>
        <w:pStyle w:val="18"/>
        <w:bidi w:val="0"/>
        <w:rPr>
          <w:rFonts w:hint="eastAsia"/>
        </w:rPr>
      </w:pPr>
      <w:r>
        <w:rPr>
          <w:rFonts w:hint="eastAsia"/>
        </w:rPr>
        <w:t>按支出项目类别划分：基本支出2194.13万元，较上年预算安排增加336.15万元，主要原因是退休人员增多；其中：工资福利支出1602.62万元、商品和服务支出1165.87万元、对个人和家庭的补助497.83万元、资本性支出6798.04万元；项目支出7609.50万元，较上年预算安排减少6812.35万元，主要原因是2026年预算结转了2025年的结转结余资金较上年减少。</w:t>
      </w:r>
    </w:p>
    <w:p>
      <w:pPr>
        <w:pStyle w:val="18"/>
        <w:bidi w:val="0"/>
        <w:rPr>
          <w:rFonts w:hint="eastAsia"/>
        </w:rPr>
      </w:pPr>
      <w:r>
        <w:rPr>
          <w:rFonts w:hint="eastAsia"/>
        </w:rPr>
        <w:t>按支</w:t>
      </w:r>
      <w:r>
        <w:rPr>
          <w:rFonts w:hint="eastAsia"/>
          <w:lang w:val="en-US" w:eastAsia="zh-CN"/>
        </w:rPr>
        <w:t>出经济分类</w:t>
      </w:r>
      <w:r>
        <w:rPr>
          <w:rFonts w:hint="eastAsia"/>
        </w:rPr>
        <w:t>划分：工资福利支出1460.62万元，商品和服务支出1030.97万元，对个人和家庭的补助417.83万元，资本性支出6798.04万元，对企业补助96.17万元。</w:t>
      </w:r>
    </w:p>
    <w:p>
      <w:pPr>
        <w:pStyle w:val="19"/>
        <w:numPr>
          <w:ilvl w:val="0"/>
          <w:numId w:val="0"/>
        </w:numPr>
        <w:bidi w:val="0"/>
        <w:ind w:firstLine="643" w:firstLineChars="200"/>
        <w:rPr>
          <w:rFonts w:hint="eastAsia" w:eastAsia="仿宋_GB2312"/>
          <w:lang w:eastAsia="zh-CN"/>
        </w:rPr>
      </w:pPr>
      <w:r>
        <w:rPr>
          <w:rFonts w:hint="eastAsia"/>
        </w:rPr>
        <w:t>(</w:t>
      </w:r>
      <w:r>
        <w:rPr>
          <w:rFonts w:hint="eastAsia"/>
          <w:lang w:val="en-US" w:eastAsia="zh-CN"/>
        </w:rPr>
        <w:t>四)政府性基金情况</w:t>
      </w:r>
    </w:p>
    <w:p>
      <w:pPr>
        <w:pStyle w:val="18"/>
        <w:bidi w:val="0"/>
        <w:rPr>
          <w:rFonts w:hint="eastAsia"/>
        </w:rPr>
      </w:pPr>
      <w:r>
        <w:rPr>
          <w:rFonts w:hint="eastAsia"/>
        </w:rPr>
        <w:t>本部门没有使用政府性基金预算拨款安排的支出</w:t>
      </w:r>
    </w:p>
    <w:p>
      <w:pPr>
        <w:pStyle w:val="19"/>
        <w:numPr>
          <w:ilvl w:val="0"/>
          <w:numId w:val="0"/>
        </w:numPr>
        <w:bidi w:val="0"/>
        <w:ind w:firstLine="643" w:firstLineChars="200"/>
        <w:rPr>
          <w:rFonts w:hint="eastAsia"/>
          <w:lang w:val="en-US" w:eastAsia="zh-CN"/>
        </w:rPr>
      </w:pPr>
      <w:r>
        <w:rPr>
          <w:rFonts w:hint="eastAsia"/>
          <w:lang w:val="en-US" w:eastAsia="zh-CN"/>
        </w:rPr>
        <w:t>(五)国有资本经营情况</w:t>
      </w:r>
    </w:p>
    <w:p>
      <w:pPr>
        <w:pStyle w:val="18"/>
        <w:bidi w:val="0"/>
        <w:rPr>
          <w:rFonts w:hint="eastAsia"/>
        </w:rPr>
      </w:pPr>
      <w:r>
        <w:rPr>
          <w:rFonts w:hint="eastAsia"/>
        </w:rPr>
        <w:t>本</w:t>
      </w:r>
      <w:r>
        <w:rPr>
          <w:rFonts w:hint="eastAsia"/>
          <w:lang w:val="en-US" w:eastAsia="zh-CN"/>
        </w:rPr>
        <w:t>部门</w:t>
      </w:r>
      <w:r>
        <w:rPr>
          <w:rFonts w:hint="eastAsia"/>
        </w:rPr>
        <w:t>没有使用国有资本经营预算拨款安排的支出</w:t>
      </w:r>
    </w:p>
    <w:p>
      <w:pPr>
        <w:pStyle w:val="19"/>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pPr>
        <w:pStyle w:val="18"/>
        <w:bidi w:val="0"/>
        <w:rPr>
          <w:rFonts w:ascii="Adobe 仿宋 Std R" w:hAnsi="Adobe 仿宋 Std R" w:eastAsia="Adobe 仿宋 Std R"/>
          <w:sz w:val="32"/>
          <w:szCs w:val="32"/>
        </w:rPr>
      </w:pPr>
      <w:r>
        <w:rPr>
          <w:rFonts w:hint="eastAsia"/>
        </w:rPr>
        <w:t>本部门无行政参公单位，无机关运行经费</w:t>
      </w:r>
    </w:p>
    <w:p>
      <w:pPr>
        <w:pStyle w:val="19"/>
        <w:numPr>
          <w:ilvl w:val="0"/>
          <w:numId w:val="0"/>
        </w:numPr>
        <w:bidi w:val="0"/>
        <w:ind w:firstLine="643" w:firstLineChars="200"/>
        <w:rPr>
          <w:rFonts w:hint="eastAsia"/>
          <w:lang w:val="en-US" w:eastAsia="zh-CN"/>
        </w:rPr>
      </w:pPr>
      <w:r>
        <w:rPr>
          <w:rFonts w:hint="eastAsia"/>
          <w:lang w:val="en-US" w:eastAsia="zh-CN"/>
        </w:rPr>
        <w:t>(七)政府采购情况</w:t>
      </w:r>
    </w:p>
    <w:p>
      <w:pPr>
        <w:pStyle w:val="18"/>
        <w:bidi w:val="0"/>
        <w:rPr>
          <w:rFonts w:hint="eastAsia"/>
          <w:lang w:eastAsia="zh-CN"/>
        </w:rPr>
      </w:pPr>
      <w:r>
        <w:rPr>
          <w:rFonts w:hint="eastAsia"/>
          <w:lang w:eastAsia="zh-CN"/>
        </w:rPr>
        <w:t>2026年部门所属各单位政府采购总额 188.58</w:t>
      </w:r>
      <w:r>
        <w:rPr>
          <w:rFonts w:hint="eastAsia"/>
          <w:lang w:val="en-US" w:eastAsia="zh-CN"/>
        </w:rPr>
        <w:t xml:space="preserve"> </w:t>
      </w:r>
      <w:r>
        <w:rPr>
          <w:rFonts w:hint="eastAsia"/>
          <w:lang w:eastAsia="zh-CN"/>
        </w:rPr>
        <w:t>万元,其中: 政府采购货物预算 188.58 万元, 政府采购工程预算 0.00</w:t>
      </w:r>
      <w:r>
        <w:rPr>
          <w:rFonts w:hint="eastAsia"/>
          <w:lang w:val="en-US" w:eastAsia="zh-CN"/>
        </w:rPr>
        <w:t xml:space="preserve"> </w:t>
      </w:r>
      <w:r>
        <w:rPr>
          <w:rFonts w:hint="eastAsia"/>
          <w:lang w:eastAsia="zh-CN"/>
        </w:rPr>
        <w:t>万元, 政府采购服务预算 0.00 万元。</w:t>
      </w:r>
    </w:p>
    <w:p>
      <w:pPr>
        <w:pStyle w:val="19"/>
        <w:numPr>
          <w:ilvl w:val="0"/>
          <w:numId w:val="0"/>
        </w:numPr>
        <w:bidi w:val="0"/>
        <w:ind w:firstLine="643" w:firstLineChars="200"/>
        <w:rPr>
          <w:rFonts w:hint="eastAsia"/>
          <w:lang w:val="en-US" w:eastAsia="zh-CN"/>
        </w:rPr>
      </w:pPr>
      <w:r>
        <w:rPr>
          <w:rFonts w:hint="eastAsia"/>
          <w:lang w:val="en-US" w:eastAsia="zh-CN"/>
        </w:rPr>
        <w:t>(八)国有资产占有使用情况</w:t>
      </w:r>
    </w:p>
    <w:p>
      <w:pPr>
        <w:pStyle w:val="18"/>
        <w:bidi w:val="0"/>
        <w:rPr>
          <w:rFonts w:hint="eastAsia"/>
          <w:lang w:eastAsia="zh-CN"/>
        </w:rPr>
      </w:pPr>
      <w:r>
        <w:rPr>
          <w:rFonts w:hint="eastAsia"/>
          <w:lang w:eastAsia="zh-CN"/>
        </w:rPr>
        <w:t>截至2025年12月31日，部门共有车辆3辆，其中，一般公务用车3辆</w:t>
      </w:r>
      <w:bookmarkStart w:id="0" w:name="_GoBack"/>
      <w:bookmarkEnd w:id="0"/>
      <w:r>
        <w:rPr>
          <w:rFonts w:hint="eastAsia"/>
          <w:lang w:eastAsia="zh-CN"/>
        </w:rPr>
        <w:t>。</w:t>
      </w:r>
    </w:p>
    <w:p>
      <w:pPr>
        <w:pStyle w:val="18"/>
        <w:bidi w:val="0"/>
        <w:rPr>
          <w:rFonts w:hint="eastAsia"/>
          <w:lang w:eastAsia="zh-CN"/>
        </w:rPr>
      </w:pPr>
      <w:r>
        <w:rPr>
          <w:rFonts w:hint="eastAsia"/>
          <w:lang w:eastAsia="zh-CN"/>
        </w:rPr>
        <w:t>2026年部门预算安排购置车辆0辆，安排购置单位价值200万元以上大型设备具体为：无。</w:t>
      </w:r>
    </w:p>
    <w:p>
      <w:pPr>
        <w:pStyle w:val="19"/>
        <w:numPr>
          <w:ilvl w:val="0"/>
          <w:numId w:val="0"/>
        </w:numPr>
        <w:bidi w:val="0"/>
        <w:ind w:firstLine="643" w:firstLineChars="200"/>
        <w:rPr>
          <w:rFonts w:hint="eastAsia"/>
          <w:lang w:val="en-US" w:eastAsia="zh-CN"/>
        </w:rPr>
      </w:pPr>
      <w:r>
        <w:rPr>
          <w:rFonts w:hint="eastAsia"/>
          <w:lang w:val="en-US" w:eastAsia="zh-CN"/>
        </w:rPr>
        <w:t>(九)项目情况说明</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1.</w:t>
      </w:r>
      <w:r>
        <w:rPr>
          <w:rFonts w:hint="eastAsia" w:ascii="Adobe 仿宋 Std R" w:hAnsi="Adobe 仿宋 Std R" w:eastAsia="Adobe 仿宋 Std R"/>
          <w:sz w:val="32"/>
          <w:szCs w:val="32"/>
          <w:lang w:val="en-US" w:eastAsia="zh-CN"/>
        </w:rPr>
        <w:t>市级</w:t>
      </w:r>
      <w:r>
        <w:rPr>
          <w:rFonts w:hint="eastAsia" w:ascii="Adobe 仿宋 Std R" w:hAnsi="Adobe 仿宋 Std R" w:eastAsia="Adobe 仿宋 Std R"/>
          <w:sz w:val="32"/>
          <w:szCs w:val="32"/>
        </w:rPr>
        <w:t>农业机械化和农机装备产业升级项目</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1）项目概述</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支持引导购置和使用先进适用的农业机械，开展水稻机械化育秧中心及集中育秧设施补贴。</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2）立项依据</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南昌市财政局南昌市农业农村局关于下达2024年市级农业机械化和农机装备产业升级项目资金的通知（洪财农指[2024]53号）</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3）实施主体</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家庭农场</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4）实施方案</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关于印发《2024年南昌市农业机械化和农机装备产业升级项目实施方案》的通知（洪农局发[2024]43号）</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5）实施周期</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一年</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6）年度预算安排：280850元</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7）绩效目标和指标：</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绩效目标：加快补齐我县水稻生产机械化短板，积极引导购置使用先进适用的农机具，开展水稻机械化育秧中心及集中育秧设施补贴，提高我县农机化水平。</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绩效指标：</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数量指标方面：重点农机具补贴数量≥10台/套，机械化育秧中心（集中育秧设施）数量≥1个</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质量指标方面：新技术展示演示活动参与率≥90%</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时效指标方面：年度内补贴资金拨付到位率≥90%</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成本指标方面：财政资金整体补贴比例≤50%</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效益指标方面：农业生产效率有效提高</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服务对象满意度方面：农业生产效率≥95%</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2.2023年乔乐乡市级农业产业强镇项目补助资金项目</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1）项目概述</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支持目标乡镇开展农产品加工项目建设，提升农产品生存水平，推动农业升级。</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2）立项依据</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2023年乔乐乡市级农业产业强镇项目补助资金洪财农指[2023]79号</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3）实施主体</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乔乐乡人民政府</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4）实施方案</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南昌市人民政府办公室关于同意确定2023年市级农业产业强镇创建乡镇名单的复函洪府办字[2023]439号</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5）实施周期：一年</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6）年度预算安排：2000000元</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7）绩效目标和指标</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绩效目标：培育壮大乡镇农业规模，进一步提升农业产业化发展水平。加强动态管理，强化对项目建设的定期调度和监督管理，督促项目单位认真落实安全生产主体责任制，确保工程进度和安全。</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绩效指标：</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数量指标方面：支持乡镇企业完成市级产业强镇一项，共计完成市级产业强镇一项。</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质量指标方面：奖补对象资格符合率≥95%。</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时效指标方面：项目按时完成</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成本指标方面：项目资金500万。</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效益指标方面：支持目标提高知名度、产量提高。</w:t>
      </w:r>
    </w:p>
    <w:p>
      <w:pPr>
        <w:pStyle w:val="17"/>
        <w:numPr>
          <w:ilvl w:val="0"/>
          <w:numId w:val="0"/>
        </w:numPr>
        <w:bidi w:val="0"/>
        <w:ind w:left="420" w:leftChars="200" w:firstLine="320" w:firstLineChars="100"/>
        <w:rPr>
          <w:rFonts w:hint="eastAsia" w:ascii="Adobe 仿宋 Std R" w:hAnsi="Adobe 仿宋 Std R" w:eastAsia="Adobe 仿宋 Std R"/>
          <w:sz w:val="32"/>
          <w:szCs w:val="32"/>
        </w:rPr>
      </w:pPr>
      <w:r>
        <w:rPr>
          <w:rFonts w:hint="eastAsia" w:ascii="Adobe 仿宋 Std R" w:hAnsi="Adobe 仿宋 Std R" w:eastAsia="Adobe 仿宋 Std R"/>
          <w:sz w:val="32"/>
          <w:szCs w:val="32"/>
        </w:rPr>
        <w:t>服务对象满意度方面：项目目标企业满意度≥95%。</w:t>
      </w:r>
    </w:p>
    <w:p>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年财政拨款“三公”经费预算情况说明</w:t>
      </w:r>
    </w:p>
    <w:p>
      <w:pPr>
        <w:pStyle w:val="18"/>
        <w:bidi w:val="0"/>
        <w:rPr>
          <w:rFonts w:hint="eastAsia"/>
          <w:lang w:eastAsia="zh-CN"/>
        </w:rPr>
      </w:pPr>
      <w:r>
        <w:rPr>
          <w:rFonts w:hint="eastAsia"/>
          <w:lang w:eastAsia="zh-CN"/>
        </w:rPr>
        <w:t>2026年安义县农业农村局(部门)财政拨款"三公"经费安排40.50万元，其中：</w:t>
      </w:r>
    </w:p>
    <w:p>
      <w:pPr>
        <w:pStyle w:val="18"/>
        <w:bidi w:val="0"/>
        <w:rPr>
          <w:rFonts w:hint="eastAsia"/>
          <w:lang w:eastAsia="zh-CN"/>
        </w:rPr>
      </w:pPr>
      <w:r>
        <w:rPr>
          <w:rFonts w:hint="eastAsia"/>
          <w:lang w:eastAsia="zh-CN"/>
        </w:rPr>
        <w:t>因公出国0.00万元,比上年增（减）</w:t>
      </w:r>
      <w:r>
        <w:rPr>
          <w:rFonts w:hint="eastAsia"/>
          <w:lang w:val="en-US" w:eastAsia="zh-CN"/>
        </w:rPr>
        <w:t>0</w:t>
      </w:r>
      <w:r>
        <w:rPr>
          <w:rFonts w:hint="eastAsia"/>
          <w:lang w:eastAsia="zh-CN"/>
        </w:rPr>
        <w:t>万元，主要原因是：与上年安排保持一致。</w:t>
      </w:r>
    </w:p>
    <w:p>
      <w:pPr>
        <w:pStyle w:val="18"/>
        <w:bidi w:val="0"/>
        <w:rPr>
          <w:rFonts w:hint="eastAsia"/>
          <w:lang w:eastAsia="zh-CN"/>
        </w:rPr>
      </w:pPr>
      <w:r>
        <w:rPr>
          <w:rFonts w:hint="eastAsia"/>
          <w:lang w:eastAsia="zh-CN"/>
        </w:rPr>
        <w:t>公务接待25.00万元,比上年</w:t>
      </w:r>
      <w:r>
        <w:rPr>
          <w:rFonts w:hint="eastAsia"/>
          <w:lang w:val="en-US" w:eastAsia="zh-CN"/>
        </w:rPr>
        <w:t>减少6.9</w:t>
      </w:r>
      <w:r>
        <w:rPr>
          <w:rFonts w:hint="eastAsia"/>
          <w:lang w:eastAsia="zh-CN"/>
        </w:rPr>
        <w:t>万元，主要原因是：</w:t>
      </w:r>
      <w:r>
        <w:rPr>
          <w:rFonts w:hint="eastAsia"/>
          <w:lang w:val="en-US" w:eastAsia="zh-CN"/>
        </w:rPr>
        <w:t>严格控制</w:t>
      </w:r>
      <w:r>
        <w:rPr>
          <w:rFonts w:hint="eastAsia"/>
          <w:lang w:eastAsia="zh-CN"/>
        </w:rPr>
        <w:t>公务接待</w:t>
      </w:r>
      <w:r>
        <w:rPr>
          <w:rFonts w:hint="eastAsia"/>
          <w:lang w:val="en-US" w:eastAsia="zh-CN"/>
        </w:rPr>
        <w:t>费</w:t>
      </w:r>
      <w:r>
        <w:rPr>
          <w:rFonts w:hint="eastAsia"/>
          <w:lang w:eastAsia="zh-CN"/>
        </w:rPr>
        <w:t>。</w:t>
      </w:r>
    </w:p>
    <w:p>
      <w:pPr>
        <w:pStyle w:val="18"/>
        <w:bidi w:val="0"/>
        <w:rPr>
          <w:rFonts w:hint="eastAsia"/>
          <w:lang w:eastAsia="zh-CN"/>
        </w:rPr>
      </w:pPr>
      <w:r>
        <w:rPr>
          <w:rFonts w:hint="eastAsia"/>
          <w:lang w:eastAsia="zh-CN"/>
        </w:rPr>
        <w:t>公务用车运行15.50万元,比上年增（减）</w:t>
      </w:r>
      <w:r>
        <w:rPr>
          <w:rFonts w:hint="eastAsia"/>
          <w:lang w:val="en-US" w:eastAsia="zh-CN"/>
        </w:rPr>
        <w:t>0</w:t>
      </w:r>
      <w:r>
        <w:rPr>
          <w:rFonts w:hint="eastAsia"/>
          <w:lang w:eastAsia="zh-CN"/>
        </w:rPr>
        <w:t>万元，主要原因是：与上年安排保持一致。</w:t>
      </w:r>
    </w:p>
    <w:p>
      <w:pPr>
        <w:pStyle w:val="18"/>
        <w:bidi w:val="0"/>
        <w:rPr>
          <w:rFonts w:hint="eastAsia"/>
          <w:lang w:eastAsia="zh-CN"/>
        </w:rPr>
      </w:pPr>
      <w:r>
        <w:rPr>
          <w:rFonts w:hint="eastAsia"/>
          <w:lang w:eastAsia="zh-CN"/>
        </w:rPr>
        <w:t>公务用车购置0.00万元,比上年增（减）</w:t>
      </w:r>
      <w:r>
        <w:rPr>
          <w:rFonts w:hint="eastAsia"/>
          <w:lang w:val="en-US" w:eastAsia="zh-CN"/>
        </w:rPr>
        <w:t>0</w:t>
      </w:r>
      <w:r>
        <w:rPr>
          <w:rFonts w:hint="eastAsia"/>
          <w:lang w:eastAsia="zh-CN"/>
        </w:rPr>
        <w:t>万元，主要原因是：与上年安排保持一致。</w:t>
      </w:r>
    </w:p>
    <w:p>
      <w:pPr>
        <w:pStyle w:val="18"/>
        <w:bidi w:val="0"/>
        <w:rPr>
          <w:rFonts w:hint="eastAsia"/>
          <w:lang w:eastAsia="zh-CN"/>
        </w:rPr>
      </w:pPr>
      <w:r>
        <w:rPr>
          <w:rFonts w:hint="eastAsia"/>
          <w:lang w:eastAsia="zh-CN"/>
        </w:rPr>
        <w:t>（增减变化为0的也请填写，并在主要原因说明“与上年安排保持一致”）</w:t>
      </w:r>
    </w:p>
    <w:p>
      <w:pPr>
        <w:rPr>
          <w:rStyle w:val="12"/>
          <w:rFonts w:hint="eastAsia" w:ascii="仿宋" w:hAnsi="仿宋" w:eastAsia="仿宋"/>
          <w:sz w:val="32"/>
          <w:szCs w:val="32"/>
        </w:rPr>
      </w:pPr>
      <w:r>
        <w:rPr>
          <w:rStyle w:val="12"/>
          <w:rFonts w:hint="eastAsia" w:ascii="仿宋" w:hAnsi="仿宋" w:eastAsia="仿宋"/>
          <w:sz w:val="32"/>
          <w:szCs w:val="32"/>
        </w:rPr>
        <w:br w:type="page"/>
      </w:r>
    </w:p>
    <w:p>
      <w:pPr>
        <w:pStyle w:val="17"/>
        <w:numPr>
          <w:ilvl w:val="0"/>
          <w:numId w:val="0"/>
        </w:numPr>
        <w:bidi w:val="0"/>
        <w:ind w:left="420" w:leftChars="200"/>
        <w:jc w:val="center"/>
        <w:rPr>
          <w:rFonts w:hint="eastAsia"/>
          <w:lang w:val="en-US" w:eastAsia="zh-CN"/>
        </w:rPr>
      </w:pPr>
      <w:r>
        <w:rPr>
          <w:rFonts w:hint="eastAsia"/>
          <w:lang w:val="en-US" w:eastAsia="zh-CN"/>
        </w:rPr>
        <w:t>第四部分   名词解释</w:t>
      </w:r>
    </w:p>
    <w:p>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pPr>
        <w:pStyle w:val="18"/>
        <w:bidi w:val="0"/>
        <w:rPr>
          <w:rFonts w:hint="eastAsia"/>
          <w:lang w:eastAsia="zh-CN"/>
        </w:rPr>
      </w:pPr>
      <w:r>
        <w:rPr>
          <w:rFonts w:hint="eastAsia"/>
          <w:lang w:eastAsia="zh-CN"/>
        </w:rPr>
        <w:t>各部门结合实际进行解释。</w:t>
      </w:r>
    </w:p>
    <w:p>
      <w:pPr>
        <w:pStyle w:val="18"/>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pPr>
        <w:pStyle w:val="18"/>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pPr>
        <w:pStyle w:val="18"/>
        <w:bidi w:val="0"/>
        <w:rPr>
          <w:rFonts w:hint="eastAsia"/>
          <w:lang w:eastAsia="zh-CN"/>
        </w:rPr>
      </w:pPr>
      <w:r>
        <w:rPr>
          <w:rFonts w:hint="eastAsia"/>
          <w:lang w:eastAsia="zh-CN"/>
        </w:rPr>
        <w:t>（三）事业收入：指事业单位开展专业业务活动及辅助活动取得的收入。</w:t>
      </w:r>
    </w:p>
    <w:p>
      <w:pPr>
        <w:pStyle w:val="18"/>
        <w:bidi w:val="0"/>
        <w:rPr>
          <w:rFonts w:hint="eastAsia"/>
          <w:lang w:eastAsia="zh-CN"/>
        </w:rPr>
      </w:pPr>
      <w:r>
        <w:rPr>
          <w:rFonts w:hint="eastAsia"/>
          <w:lang w:eastAsia="zh-CN"/>
        </w:rPr>
        <w:t>（四）事业单位经营收入：指事业单位在专业业务活动及辅助活动之外开展非独立核算经营活动取得的收入。</w:t>
      </w:r>
    </w:p>
    <w:p>
      <w:pPr>
        <w:pStyle w:val="18"/>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pPr>
        <w:pStyle w:val="18"/>
        <w:bidi w:val="0"/>
        <w:rPr>
          <w:rFonts w:hint="eastAsia"/>
          <w:lang w:eastAsia="zh-CN"/>
        </w:rPr>
      </w:pPr>
      <w:r>
        <w:rPr>
          <w:rFonts w:hint="eastAsia"/>
          <w:lang w:eastAsia="zh-CN"/>
        </w:rPr>
        <w:t>（六）上级补助收入：指事业单位从主管部门和上级单位取得的非财政补助收入。</w:t>
      </w:r>
    </w:p>
    <w:p>
      <w:pPr>
        <w:pStyle w:val="18"/>
        <w:bidi w:val="0"/>
        <w:rPr>
          <w:rFonts w:hint="eastAsia"/>
          <w:lang w:eastAsia="zh-CN"/>
        </w:rPr>
      </w:pPr>
      <w:r>
        <w:rPr>
          <w:rFonts w:hint="eastAsia"/>
          <w:lang w:eastAsia="zh-CN"/>
        </w:rPr>
        <w:t>（七）其他收入：指除财政拨款、事业收入、事业单位经营收入等以外的各项收入。</w:t>
      </w:r>
    </w:p>
    <w:p>
      <w:pPr>
        <w:pStyle w:val="18"/>
        <w:bidi w:val="0"/>
        <w:rPr>
          <w:rFonts w:hint="eastAsia"/>
          <w:lang w:eastAsia="zh-CN"/>
        </w:rPr>
      </w:pPr>
      <w:r>
        <w:rPr>
          <w:rFonts w:hint="eastAsia"/>
          <w:lang w:eastAsia="zh-CN"/>
        </w:rPr>
        <w:t>（八）使用非财政拨款结余：指历年滚存非限定用途的非财政拨款结余弥补本年度收支差额的数额。</w:t>
      </w:r>
    </w:p>
    <w:p>
      <w:pPr>
        <w:pStyle w:val="18"/>
        <w:bidi w:val="0"/>
        <w:rPr>
          <w:rFonts w:hint="eastAsia"/>
          <w:lang w:eastAsia="zh-CN"/>
        </w:rPr>
      </w:pPr>
      <w:r>
        <w:rPr>
          <w:rFonts w:hint="eastAsia"/>
          <w:lang w:eastAsia="zh-CN"/>
        </w:rPr>
        <w:t>（九）上年结转和结余：指以前年度全部结转和结余的资金数，包括当年结转结余资金和历年滚存结转结余资金。</w:t>
      </w:r>
    </w:p>
    <w:p>
      <w:pPr>
        <w:ind w:firstLine="640" w:firstLineChars="200"/>
        <w:rPr>
          <w:rFonts w:ascii="Adobe 仿宋 Std R" w:hAnsi="Adobe 仿宋 Std R" w:eastAsia="Adobe 仿宋 Std R"/>
          <w:sz w:val="32"/>
          <w:szCs w:val="32"/>
        </w:rPr>
      </w:pPr>
    </w:p>
    <w:p>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pPr>
        <w:pStyle w:val="18"/>
        <w:bidi w:val="0"/>
        <w:rPr>
          <w:rFonts w:hint="eastAsia"/>
          <w:lang w:eastAsia="zh-CN"/>
        </w:rPr>
      </w:pPr>
      <w:r>
        <w:rPr>
          <w:rFonts w:hint="eastAsia"/>
          <w:lang w:eastAsia="zh-CN"/>
        </w:rPr>
        <w:t>对部门预算中涉及的支出功能分类科目（明细到项级），结合部门实际，参照《2026年政府收支分类科目》的规范说明进行解释。</w:t>
      </w:r>
    </w:p>
    <w:p>
      <w:pPr>
        <w:widowControl/>
        <w:spacing w:line="600" w:lineRule="exact"/>
        <w:ind w:firstLine="640" w:firstLineChars="200"/>
        <w:jc w:val="left"/>
        <w:rPr>
          <w:rFonts w:ascii="仿宋_GB2312" w:eastAsia="仿宋_GB2312"/>
          <w:color w:val="000000"/>
          <w:sz w:val="32"/>
          <w:szCs w:val="30"/>
        </w:rPr>
      </w:pPr>
    </w:p>
    <w:p>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pPr>
        <w:pStyle w:val="18"/>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pPr>
        <w:pStyle w:val="18"/>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D1273"/>
    <w:multiLevelType w:val="singleLevel"/>
    <w:tmpl w:val="0C7D1273"/>
    <w:lvl w:ilvl="0" w:tentative="0">
      <w:start w:val="1"/>
      <w:numFmt w:val="chineseCounting"/>
      <w:pStyle w:val="17"/>
      <w:suff w:val="nothing"/>
      <w:lvlText w:val="%1、"/>
      <w:lvlJc w:val="left"/>
      <w:pPr>
        <w:ind w:left="0" w:firstLine="420"/>
      </w:pPr>
      <w:rPr>
        <w:rFonts w:hint="eastAsia"/>
      </w:rPr>
    </w:lvl>
  </w:abstractNum>
  <w:abstractNum w:abstractNumId="1">
    <w:nsid w:val="79F6942D"/>
    <w:multiLevelType w:val="singleLevel"/>
    <w:tmpl w:val="79F6942D"/>
    <w:lvl w:ilvl="0" w:tentative="0">
      <w:start w:val="1"/>
      <w:numFmt w:val="chineseCounting"/>
      <w:pStyle w:val="19"/>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jYzY5ZmMwZWEzMzQxOWIwM2QyODc3MDk3NDFhOWM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EF572E"/>
    <w:rsid w:val="020411DA"/>
    <w:rsid w:val="02176B4D"/>
    <w:rsid w:val="0288005D"/>
    <w:rsid w:val="02C06A14"/>
    <w:rsid w:val="02F05C02"/>
    <w:rsid w:val="0313418A"/>
    <w:rsid w:val="03183089"/>
    <w:rsid w:val="033409AD"/>
    <w:rsid w:val="036543A8"/>
    <w:rsid w:val="03713379"/>
    <w:rsid w:val="03A26EFC"/>
    <w:rsid w:val="03C54F15"/>
    <w:rsid w:val="044C3E08"/>
    <w:rsid w:val="048760F2"/>
    <w:rsid w:val="04AB0032"/>
    <w:rsid w:val="04D1736D"/>
    <w:rsid w:val="0548762F"/>
    <w:rsid w:val="056335EC"/>
    <w:rsid w:val="058E403A"/>
    <w:rsid w:val="05A96FBC"/>
    <w:rsid w:val="067A6028"/>
    <w:rsid w:val="069027A8"/>
    <w:rsid w:val="06BE4E5C"/>
    <w:rsid w:val="06D10F0F"/>
    <w:rsid w:val="06EB090E"/>
    <w:rsid w:val="070F6488"/>
    <w:rsid w:val="072E0AA7"/>
    <w:rsid w:val="07493DE4"/>
    <w:rsid w:val="076646E5"/>
    <w:rsid w:val="07944DAE"/>
    <w:rsid w:val="07DA39BA"/>
    <w:rsid w:val="07FD6DF7"/>
    <w:rsid w:val="089B644D"/>
    <w:rsid w:val="08AA6372"/>
    <w:rsid w:val="0957140D"/>
    <w:rsid w:val="097430E9"/>
    <w:rsid w:val="09813405"/>
    <w:rsid w:val="098466E2"/>
    <w:rsid w:val="099A2423"/>
    <w:rsid w:val="09C63CB7"/>
    <w:rsid w:val="0A1A2AD5"/>
    <w:rsid w:val="0A3B59B5"/>
    <w:rsid w:val="0A522CFE"/>
    <w:rsid w:val="0A603A28"/>
    <w:rsid w:val="0A7E3AF3"/>
    <w:rsid w:val="0B2E6C33"/>
    <w:rsid w:val="0B471443"/>
    <w:rsid w:val="0B582596"/>
    <w:rsid w:val="0B776EC0"/>
    <w:rsid w:val="0BD22464"/>
    <w:rsid w:val="0C0F6191"/>
    <w:rsid w:val="0C210BDA"/>
    <w:rsid w:val="0C22507E"/>
    <w:rsid w:val="0C234952"/>
    <w:rsid w:val="0C97247A"/>
    <w:rsid w:val="0CE40340"/>
    <w:rsid w:val="0D1D3A97"/>
    <w:rsid w:val="0D7F0935"/>
    <w:rsid w:val="0D906017"/>
    <w:rsid w:val="0DB3098E"/>
    <w:rsid w:val="0DC46BAD"/>
    <w:rsid w:val="0E4868F2"/>
    <w:rsid w:val="0EC56195"/>
    <w:rsid w:val="0ED334BB"/>
    <w:rsid w:val="0EED77D1"/>
    <w:rsid w:val="0EFE5F92"/>
    <w:rsid w:val="0F2509E1"/>
    <w:rsid w:val="0F77472F"/>
    <w:rsid w:val="0FA364D6"/>
    <w:rsid w:val="0FFC5BE6"/>
    <w:rsid w:val="10374E70"/>
    <w:rsid w:val="1042584C"/>
    <w:rsid w:val="10C76C75"/>
    <w:rsid w:val="10EC7A09"/>
    <w:rsid w:val="118C7F17"/>
    <w:rsid w:val="11A83289"/>
    <w:rsid w:val="11BA18B5"/>
    <w:rsid w:val="12AB25F0"/>
    <w:rsid w:val="12C66037"/>
    <w:rsid w:val="12D71EE1"/>
    <w:rsid w:val="13024677"/>
    <w:rsid w:val="132316DC"/>
    <w:rsid w:val="13257202"/>
    <w:rsid w:val="137A24B0"/>
    <w:rsid w:val="146A26EA"/>
    <w:rsid w:val="14972381"/>
    <w:rsid w:val="14DB226E"/>
    <w:rsid w:val="15F1786F"/>
    <w:rsid w:val="161C45A6"/>
    <w:rsid w:val="163E20B5"/>
    <w:rsid w:val="167909DF"/>
    <w:rsid w:val="16790A4B"/>
    <w:rsid w:val="16A62BCA"/>
    <w:rsid w:val="16B57185"/>
    <w:rsid w:val="16D72F09"/>
    <w:rsid w:val="16D73651"/>
    <w:rsid w:val="17201A96"/>
    <w:rsid w:val="175943AB"/>
    <w:rsid w:val="177B5642"/>
    <w:rsid w:val="183121A5"/>
    <w:rsid w:val="183D4FEE"/>
    <w:rsid w:val="187973A6"/>
    <w:rsid w:val="189E6FE8"/>
    <w:rsid w:val="18D62220"/>
    <w:rsid w:val="190A1374"/>
    <w:rsid w:val="1911314F"/>
    <w:rsid w:val="192341E3"/>
    <w:rsid w:val="19264D41"/>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F4DDA"/>
    <w:rsid w:val="1F240CB5"/>
    <w:rsid w:val="1F647304"/>
    <w:rsid w:val="1FF163B0"/>
    <w:rsid w:val="206D0602"/>
    <w:rsid w:val="20757BCC"/>
    <w:rsid w:val="208D0D40"/>
    <w:rsid w:val="212A1E87"/>
    <w:rsid w:val="218C669E"/>
    <w:rsid w:val="21C916A0"/>
    <w:rsid w:val="221F7512"/>
    <w:rsid w:val="22421D13"/>
    <w:rsid w:val="22430342"/>
    <w:rsid w:val="22601146"/>
    <w:rsid w:val="226F2247"/>
    <w:rsid w:val="22A5210D"/>
    <w:rsid w:val="22BD518D"/>
    <w:rsid w:val="230518A8"/>
    <w:rsid w:val="23F95523"/>
    <w:rsid w:val="2418246B"/>
    <w:rsid w:val="24407927"/>
    <w:rsid w:val="248511A6"/>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3B60E3"/>
    <w:rsid w:val="2A6B66A5"/>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D0D5D1F"/>
    <w:rsid w:val="2D12214D"/>
    <w:rsid w:val="2D5E2035"/>
    <w:rsid w:val="2D864873"/>
    <w:rsid w:val="2DA96B06"/>
    <w:rsid w:val="2E051E23"/>
    <w:rsid w:val="2ED008F1"/>
    <w:rsid w:val="2EE1627B"/>
    <w:rsid w:val="2F221578"/>
    <w:rsid w:val="2F3276C7"/>
    <w:rsid w:val="2F656EAC"/>
    <w:rsid w:val="2F875DDB"/>
    <w:rsid w:val="2FC413DF"/>
    <w:rsid w:val="30007685"/>
    <w:rsid w:val="300F4902"/>
    <w:rsid w:val="303A64D0"/>
    <w:rsid w:val="303B4255"/>
    <w:rsid w:val="30427C69"/>
    <w:rsid w:val="30A0509E"/>
    <w:rsid w:val="30D065A7"/>
    <w:rsid w:val="311B06F3"/>
    <w:rsid w:val="31480833"/>
    <w:rsid w:val="317909ED"/>
    <w:rsid w:val="31D10739"/>
    <w:rsid w:val="31E5110E"/>
    <w:rsid w:val="31FA476A"/>
    <w:rsid w:val="32101599"/>
    <w:rsid w:val="3240775C"/>
    <w:rsid w:val="32827D75"/>
    <w:rsid w:val="32C510AF"/>
    <w:rsid w:val="32D911D9"/>
    <w:rsid w:val="33207934"/>
    <w:rsid w:val="3328400E"/>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C66E2C"/>
    <w:rsid w:val="35E11256"/>
    <w:rsid w:val="35E83F05"/>
    <w:rsid w:val="35FF348B"/>
    <w:rsid w:val="36015455"/>
    <w:rsid w:val="363E00C4"/>
    <w:rsid w:val="369B31B3"/>
    <w:rsid w:val="36C95F72"/>
    <w:rsid w:val="371F5B92"/>
    <w:rsid w:val="375717D0"/>
    <w:rsid w:val="37692CB0"/>
    <w:rsid w:val="37773C20"/>
    <w:rsid w:val="377E2B92"/>
    <w:rsid w:val="37F44BF3"/>
    <w:rsid w:val="38FD49CD"/>
    <w:rsid w:val="39363AEB"/>
    <w:rsid w:val="397330FD"/>
    <w:rsid w:val="39827A59"/>
    <w:rsid w:val="39932267"/>
    <w:rsid w:val="399D4784"/>
    <w:rsid w:val="399F2FBB"/>
    <w:rsid w:val="39B20F40"/>
    <w:rsid w:val="39ED7FCB"/>
    <w:rsid w:val="39F647B9"/>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7E3E84"/>
    <w:rsid w:val="3C965237"/>
    <w:rsid w:val="3CFB44C3"/>
    <w:rsid w:val="3D01676D"/>
    <w:rsid w:val="3D121CF5"/>
    <w:rsid w:val="3D2A5291"/>
    <w:rsid w:val="3D6A7D83"/>
    <w:rsid w:val="3D8449A1"/>
    <w:rsid w:val="3D8A2CB0"/>
    <w:rsid w:val="3D8F7591"/>
    <w:rsid w:val="3E272EE8"/>
    <w:rsid w:val="3E344619"/>
    <w:rsid w:val="3E534E03"/>
    <w:rsid w:val="3E864749"/>
    <w:rsid w:val="3E917C19"/>
    <w:rsid w:val="3EBE2135"/>
    <w:rsid w:val="3ED656D0"/>
    <w:rsid w:val="3F12422F"/>
    <w:rsid w:val="3F1F4BA2"/>
    <w:rsid w:val="3F383632"/>
    <w:rsid w:val="3F44662B"/>
    <w:rsid w:val="3F453306"/>
    <w:rsid w:val="3F740A45"/>
    <w:rsid w:val="3FAF58B0"/>
    <w:rsid w:val="3FFF47B3"/>
    <w:rsid w:val="400E7546"/>
    <w:rsid w:val="40183119"/>
    <w:rsid w:val="4052477A"/>
    <w:rsid w:val="4052753A"/>
    <w:rsid w:val="40B30B18"/>
    <w:rsid w:val="413E130B"/>
    <w:rsid w:val="41B7665D"/>
    <w:rsid w:val="422514B1"/>
    <w:rsid w:val="426E79CE"/>
    <w:rsid w:val="42DE4B54"/>
    <w:rsid w:val="433303B9"/>
    <w:rsid w:val="43422F5A"/>
    <w:rsid w:val="439416B6"/>
    <w:rsid w:val="4394233B"/>
    <w:rsid w:val="43B35A16"/>
    <w:rsid w:val="441308E0"/>
    <w:rsid w:val="45B7128B"/>
    <w:rsid w:val="45C970A0"/>
    <w:rsid w:val="45EA198E"/>
    <w:rsid w:val="461E51EB"/>
    <w:rsid w:val="467D28D5"/>
    <w:rsid w:val="46902609"/>
    <w:rsid w:val="46B35164"/>
    <w:rsid w:val="46C430DC"/>
    <w:rsid w:val="46D1677D"/>
    <w:rsid w:val="475F022D"/>
    <w:rsid w:val="47704B50"/>
    <w:rsid w:val="48967C7F"/>
    <w:rsid w:val="48BC3499"/>
    <w:rsid w:val="493F20C4"/>
    <w:rsid w:val="49A3337A"/>
    <w:rsid w:val="49BE0F52"/>
    <w:rsid w:val="4A0A0193"/>
    <w:rsid w:val="4A3D4856"/>
    <w:rsid w:val="4A875AD1"/>
    <w:rsid w:val="4A9D48C2"/>
    <w:rsid w:val="4ABB15CA"/>
    <w:rsid w:val="4B0E1D4E"/>
    <w:rsid w:val="4BCC5D64"/>
    <w:rsid w:val="4BD50ABE"/>
    <w:rsid w:val="4BE40D01"/>
    <w:rsid w:val="4C334A9D"/>
    <w:rsid w:val="4C363892"/>
    <w:rsid w:val="4C4023DB"/>
    <w:rsid w:val="4C632900"/>
    <w:rsid w:val="4C787DC7"/>
    <w:rsid w:val="4CA30BBC"/>
    <w:rsid w:val="4CB041A4"/>
    <w:rsid w:val="4D106251"/>
    <w:rsid w:val="4D1D271C"/>
    <w:rsid w:val="4D3073ED"/>
    <w:rsid w:val="4D824567"/>
    <w:rsid w:val="4DA22C22"/>
    <w:rsid w:val="4DC25072"/>
    <w:rsid w:val="4DDA284D"/>
    <w:rsid w:val="4E600F7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2313BAC"/>
    <w:rsid w:val="5245699D"/>
    <w:rsid w:val="527A416D"/>
    <w:rsid w:val="52B15DE1"/>
    <w:rsid w:val="52C00AB5"/>
    <w:rsid w:val="52CD6993"/>
    <w:rsid w:val="52D32C59"/>
    <w:rsid w:val="52D33227"/>
    <w:rsid w:val="52D7336D"/>
    <w:rsid w:val="52ED493F"/>
    <w:rsid w:val="53516268"/>
    <w:rsid w:val="53BA6F17"/>
    <w:rsid w:val="53C94501"/>
    <w:rsid w:val="54942314"/>
    <w:rsid w:val="54A315F0"/>
    <w:rsid w:val="551F080C"/>
    <w:rsid w:val="557D01FC"/>
    <w:rsid w:val="558649E9"/>
    <w:rsid w:val="559B757A"/>
    <w:rsid w:val="55B21658"/>
    <w:rsid w:val="560222CE"/>
    <w:rsid w:val="560A3E85"/>
    <w:rsid w:val="561E35DE"/>
    <w:rsid w:val="56423283"/>
    <w:rsid w:val="56C47F55"/>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A113609"/>
    <w:rsid w:val="5A124512"/>
    <w:rsid w:val="5A3D61AC"/>
    <w:rsid w:val="5AD61C4C"/>
    <w:rsid w:val="5AF336F3"/>
    <w:rsid w:val="5B063489"/>
    <w:rsid w:val="5B196FF7"/>
    <w:rsid w:val="5B2630E4"/>
    <w:rsid w:val="5B7A6F8C"/>
    <w:rsid w:val="5B852845"/>
    <w:rsid w:val="5B8D3163"/>
    <w:rsid w:val="5BCB45A3"/>
    <w:rsid w:val="5BF226BA"/>
    <w:rsid w:val="5C084598"/>
    <w:rsid w:val="5C2A6C04"/>
    <w:rsid w:val="5C2D0A9F"/>
    <w:rsid w:val="5C78171D"/>
    <w:rsid w:val="5C986C68"/>
    <w:rsid w:val="5CCB4C52"/>
    <w:rsid w:val="5CD235A2"/>
    <w:rsid w:val="5D1256CE"/>
    <w:rsid w:val="5EB629D1"/>
    <w:rsid w:val="5ED43404"/>
    <w:rsid w:val="5F28567D"/>
    <w:rsid w:val="5F5A15AE"/>
    <w:rsid w:val="5F7563E8"/>
    <w:rsid w:val="6025390F"/>
    <w:rsid w:val="602A730A"/>
    <w:rsid w:val="604A0FC0"/>
    <w:rsid w:val="60565F34"/>
    <w:rsid w:val="6062071A"/>
    <w:rsid w:val="609E54CA"/>
    <w:rsid w:val="60B60A66"/>
    <w:rsid w:val="60FF065F"/>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6D7047"/>
    <w:rsid w:val="65943DCC"/>
    <w:rsid w:val="6645502F"/>
    <w:rsid w:val="66592A75"/>
    <w:rsid w:val="66B33C62"/>
    <w:rsid w:val="66CB34B0"/>
    <w:rsid w:val="66CE552F"/>
    <w:rsid w:val="66F978FF"/>
    <w:rsid w:val="66FD399E"/>
    <w:rsid w:val="67005A4F"/>
    <w:rsid w:val="67010C05"/>
    <w:rsid w:val="674F1B70"/>
    <w:rsid w:val="67607CDE"/>
    <w:rsid w:val="67795450"/>
    <w:rsid w:val="67987117"/>
    <w:rsid w:val="67BA0013"/>
    <w:rsid w:val="67C33BC0"/>
    <w:rsid w:val="67FA392E"/>
    <w:rsid w:val="6874548F"/>
    <w:rsid w:val="687F5F93"/>
    <w:rsid w:val="68B95597"/>
    <w:rsid w:val="68F41F57"/>
    <w:rsid w:val="69054339"/>
    <w:rsid w:val="6914022D"/>
    <w:rsid w:val="696C260A"/>
    <w:rsid w:val="699851AD"/>
    <w:rsid w:val="699B2EEF"/>
    <w:rsid w:val="699D6C67"/>
    <w:rsid w:val="69B84EDC"/>
    <w:rsid w:val="6A0339D1"/>
    <w:rsid w:val="6A2151A2"/>
    <w:rsid w:val="6ACC771E"/>
    <w:rsid w:val="6AE727FB"/>
    <w:rsid w:val="6B476A1E"/>
    <w:rsid w:val="6B4C44A1"/>
    <w:rsid w:val="6B755743"/>
    <w:rsid w:val="6BAA7419"/>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97E5C"/>
    <w:rsid w:val="6ECC5FE7"/>
    <w:rsid w:val="6EDB6140"/>
    <w:rsid w:val="6F9E1043"/>
    <w:rsid w:val="6FB14B95"/>
    <w:rsid w:val="6FBB39A3"/>
    <w:rsid w:val="6FD42CB7"/>
    <w:rsid w:val="70077DE7"/>
    <w:rsid w:val="7029485D"/>
    <w:rsid w:val="70B56644"/>
    <w:rsid w:val="710366B1"/>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8B076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110AD8"/>
    <w:rsid w:val="791A1FD1"/>
    <w:rsid w:val="791A5BDE"/>
    <w:rsid w:val="79294073"/>
    <w:rsid w:val="79AE6381"/>
    <w:rsid w:val="7AA535EF"/>
    <w:rsid w:val="7B2B0079"/>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character" w:customStyle="1" w:styleId="9">
    <w:name w:val="页眉 字符"/>
    <w:basedOn w:val="6"/>
    <w:link w:val="5"/>
    <w:qFormat/>
    <w:uiPriority w:val="99"/>
    <w:rPr>
      <w:sz w:val="18"/>
      <w:szCs w:val="18"/>
    </w:rPr>
  </w:style>
  <w:style w:type="character" w:customStyle="1" w:styleId="10">
    <w:name w:val="页脚 字符"/>
    <w:basedOn w:val="6"/>
    <w:link w:val="4"/>
    <w:qFormat/>
    <w:uiPriority w:val="99"/>
    <w:rPr>
      <w:sz w:val="18"/>
      <w:szCs w:val="18"/>
    </w:rPr>
  </w:style>
  <w:style w:type="character" w:customStyle="1" w:styleId="11">
    <w:name w:val="row_tree_level_3"/>
    <w:basedOn w:val="6"/>
    <w:qFormat/>
    <w:uiPriority w:val="0"/>
  </w:style>
  <w:style w:type="character" w:customStyle="1" w:styleId="12">
    <w:name w:val="row_tree_level_4"/>
    <w:basedOn w:val="6"/>
    <w:qFormat/>
    <w:uiPriority w:val="0"/>
  </w:style>
  <w:style w:type="paragraph" w:customStyle="1" w:styleId="13">
    <w:name w:val="p0"/>
    <w:basedOn w:val="1"/>
    <w:qFormat/>
    <w:uiPriority w:val="0"/>
    <w:pPr>
      <w:widowControl/>
    </w:pPr>
    <w:rPr>
      <w:rFonts w:ascii="Times New Roman" w:hAnsi="Times New Roman" w:eastAsia="宋体" w:cs="Times New Roman"/>
      <w:kern w:val="0"/>
      <w:szCs w:val="21"/>
    </w:rPr>
  </w:style>
  <w:style w:type="character" w:customStyle="1" w:styleId="14">
    <w:name w:val="15"/>
    <w:basedOn w:val="6"/>
    <w:qFormat/>
    <w:uiPriority w:val="0"/>
    <w:rPr>
      <w:rFonts w:hint="default" w:ascii="Times New Roman" w:hAnsi="Times New Roman" w:cs="Times New Roman"/>
      <w:sz w:val="20"/>
      <w:szCs w:val="20"/>
    </w:rPr>
  </w:style>
  <w:style w:type="character" w:customStyle="1" w:styleId="15">
    <w:name w:val="font01"/>
    <w:basedOn w:val="6"/>
    <w:qFormat/>
    <w:uiPriority w:val="0"/>
    <w:rPr>
      <w:rFonts w:hint="eastAsia" w:ascii="等线" w:hAnsi="等线" w:eastAsia="等线" w:cs="等线"/>
      <w:color w:val="000000"/>
      <w:sz w:val="22"/>
      <w:szCs w:val="22"/>
      <w:u w:val="none"/>
    </w:rPr>
  </w:style>
  <w:style w:type="paragraph" w:customStyle="1" w:styleId="16">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7">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18">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19">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4602</Words>
  <Characters>5651</Characters>
  <Lines>47</Lines>
  <Paragraphs>13</Paragraphs>
  <TotalTime>0</TotalTime>
  <ScaleCrop>false</ScaleCrop>
  <LinksUpToDate>false</LinksUpToDate>
  <CharactersWithSpaces>5772</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Administrator</cp:lastModifiedBy>
  <dcterms:modified xsi:type="dcterms:W3CDTF">2026-04-23T01:30:19Z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97DE4861186A498F85D2D6E5BA9C76BC_13</vt:lpwstr>
  </property>
  <property fmtid="{D5CDD505-2E9C-101B-9397-08002B2CF9AE}" pid="3" name="KSOProductBuildVer">
    <vt:lpwstr>2052-10.1.0.7698</vt:lpwstr>
  </property>
</Properties>
</file>